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34B" w:rsidRPr="003C108E" w:rsidRDefault="009D734B" w:rsidP="009D734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l-PL"/>
        </w:rPr>
      </w:pPr>
      <w:bookmarkStart w:id="0" w:name="_GoBack"/>
      <w:bookmarkEnd w:id="0"/>
      <w:r w:rsidRPr="003C108E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l-PL"/>
        </w:rPr>
        <w:t>ZAŁĄCZNIK  XIV</w:t>
      </w:r>
      <w:r w:rsidR="004A1FB2" w:rsidRPr="003C108E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l-PL"/>
        </w:rPr>
        <w:t xml:space="preserve"> do dyrektywy Parlamentu Europejskiego i Rady 2014/24/UE z dnia 26 lutego 2014 r. w sprawie zamówień publicznych, uchylającej dyrektywę 2004/18/WE (Dz. Urz. UE L 94 z 28.03.2014, str. 65, z </w:t>
      </w:r>
      <w:proofErr w:type="spellStart"/>
      <w:r w:rsidR="004A1FB2" w:rsidRPr="003C108E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l-PL"/>
        </w:rPr>
        <w:t>późn</w:t>
      </w:r>
      <w:proofErr w:type="spellEnd"/>
      <w:r w:rsidR="004A1FB2" w:rsidRPr="003C108E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l-PL"/>
        </w:rPr>
        <w:t>. zm.)</w:t>
      </w:r>
    </w:p>
    <w:p w:rsidR="009D734B" w:rsidRPr="003C108E" w:rsidRDefault="009D734B" w:rsidP="009D734B">
      <w:pPr>
        <w:shd w:val="clear" w:color="auto" w:fill="FFFFFF"/>
        <w:spacing w:before="120" w:after="150" w:line="360" w:lineRule="atLeast"/>
        <w:jc w:val="center"/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l-PL"/>
        </w:rPr>
      </w:pPr>
      <w:r w:rsidRPr="003C108E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l-PL"/>
        </w:rPr>
        <w:t>USŁUGI, O KTÓRYCH MOWA W ART. 74</w:t>
      </w:r>
    </w:p>
    <w:tbl>
      <w:tblPr>
        <w:tblW w:w="8518" w:type="dxa"/>
        <w:tblBorders>
          <w:top w:val="single" w:sz="6" w:space="0" w:color="auto"/>
          <w:bottom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9"/>
        <w:gridCol w:w="4279"/>
      </w:tblGrid>
      <w:tr w:rsidR="009D734B" w:rsidRPr="003C108E" w:rsidTr="009D734B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Kod CPV</w:t>
            </w:r>
          </w:p>
        </w:tc>
        <w:tc>
          <w:tcPr>
            <w:tcW w:w="0" w:type="auto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Opis</w:t>
            </w:r>
          </w:p>
        </w:tc>
      </w:tr>
      <w:tr w:rsidR="009D734B" w:rsidRPr="003C108E" w:rsidTr="009D734B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75200000-8; 75231200-6; 75231240-8; 79611000-0; 79622000-0 Usługi w zakresie pozyskiwania pracowników świadczących pomoc domową]; 79624000-4 [Usługi w zakresie pozyskiwania personelu pielęgniarskiego] i 79625000-1 [Usługi w zakresie pozyskiwania personelu medycznego] od 85000000-9 do 85323000-9; 98133100-5, 98133000-4; 98200000-5, 98500000-8 [Zatrudnianie pracowników do prowadzenia gospodarstwa domowego] i 98513000-2 do 98514000-9 [Usługi siły roboczej dla gospodarstw domowych, usługi personelu agencji dla gospodarstw domowych, usługi urzędnicze dla gospodarstw domowych, usługi pracowników tymczasowych dla gospodarstw domowych, usługi pracowników pomagających w prowadzeniu gospodarstwa domowego, usługi w gospodarstwie domowym]</w:t>
            </w:r>
          </w:p>
        </w:tc>
        <w:tc>
          <w:tcPr>
            <w:tcW w:w="0" w:type="auto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Usługi zdrowotne, społeczne i pokrewne</w:t>
            </w:r>
          </w:p>
        </w:tc>
      </w:tr>
      <w:tr w:rsidR="009D734B" w:rsidRPr="003C108E" w:rsidTr="009D734B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85321000-5 i 85322000-2, 75000000-6 [Usługi administracji publicznej, obrony i zabezpieczenia socjalnego], 75121000-0, 75122000-7, 75124000-1; od 79995000-5 do 79995200-7; od 80000000-4 Usługi edukacyjne i szkoleniowe do 80660000-8; od 92000000-1 do 92700000-8 79950000-8 [Usługi w zakresie organizowania wystaw, targów i kongresów], 79951000-5 [Usługi w zakresie organizowania seminariów], 79952000-2 [Usługi w zakresie organizacji imprez], 79952100-3 [Usługi </w:t>
            </w: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>w zakresie organizacji imprez kulturalnych], 79953000-9 [Usługi w zakresie organizacji festiwali], 79954000-6 [Usługi w zakresie organizacji przyjęć], 79955000-3 [Usługi w zakresie organizacji pokazów mody], 79956000-0 [Usługi w zakresie organizacji targów i wystaw]</w:t>
            </w:r>
          </w:p>
        </w:tc>
        <w:tc>
          <w:tcPr>
            <w:tcW w:w="0" w:type="auto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>Usługi administracyjne w zakresie edukacji, opieki zdrowotnej i kultury</w:t>
            </w:r>
          </w:p>
        </w:tc>
      </w:tr>
      <w:tr w:rsidR="009D734B" w:rsidRPr="003C108E" w:rsidTr="009D734B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75300000-9</w:t>
            </w:r>
          </w:p>
        </w:tc>
        <w:tc>
          <w:tcPr>
            <w:tcW w:w="0" w:type="auto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Usługi w zakresie obowiązkowego ubezpieczenia społecznego</w:t>
            </w:r>
            <w:r w:rsidRPr="003C108E">
              <w:rPr>
                <w:rFonts w:ascii="Calibri" w:eastAsia="Times New Roman" w:hAnsi="Calibri" w:cs="Calibri"/>
                <w:vertAlign w:val="superscript"/>
                <w:lang w:eastAsia="pl-PL"/>
              </w:rPr>
              <w:t>(1)</w:t>
            </w:r>
          </w:p>
        </w:tc>
      </w:tr>
      <w:tr w:rsidR="009D734B" w:rsidRPr="003C108E" w:rsidTr="009D734B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75310000-2, 75311000-9, 75312000-6, 75313000-3, 75313100-4, 75314000-0, 75320000-5, 75330000-8, 75340000-1</w:t>
            </w:r>
          </w:p>
        </w:tc>
        <w:tc>
          <w:tcPr>
            <w:tcW w:w="0" w:type="auto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Świadczenia społeczne</w:t>
            </w:r>
          </w:p>
        </w:tc>
      </w:tr>
      <w:tr w:rsidR="009D734B" w:rsidRPr="003C108E" w:rsidTr="009D734B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98000000-3; 98120000-0; 98132000-7; 98133110-8 i 98130000-3</w:t>
            </w:r>
          </w:p>
        </w:tc>
        <w:tc>
          <w:tcPr>
            <w:tcW w:w="0" w:type="auto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Inne usługi komunalne, socjalne i osobiste, w tym usługi świadczone przez związki zawodowe, organizacje polityczne, stowarzyszenia młodzieżowe i inne organizacje członkowskie</w:t>
            </w:r>
          </w:p>
        </w:tc>
      </w:tr>
      <w:tr w:rsidR="009D734B" w:rsidRPr="003C108E" w:rsidTr="009D734B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98131000-0</w:t>
            </w:r>
          </w:p>
        </w:tc>
        <w:tc>
          <w:tcPr>
            <w:tcW w:w="0" w:type="auto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Usługi religijne</w:t>
            </w:r>
          </w:p>
        </w:tc>
      </w:tr>
      <w:tr w:rsidR="009D734B" w:rsidRPr="003C108E" w:rsidTr="009D734B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55100000-1 do 55410000-7; 55521000-8 do 55521200-0 [55521000-8 Usługi w zakresie dostarczania posiłków do prywatnych gospodarstw domowych, 55521100-9 Usługi rozwożenia posiłków, 55521200-0 Usługi dowożenia posiłków] 55520000-1 Usługi dostarczania posiłków, 55522000-5 Usługi dostarczania posiłków do przedsiębiorstw transportowych, 55523000-2 Usługi zaprowiantowania innych przedsiębiorstw lub instytucji, 55524000-9 Usługi dostarczania posiłków do szkół, 55510000-8 Usługi bufetowe, 55511000-5 Usługi bufetowe oraz usługi kawiarniane dla ograniczonej grupy klientów, 55512000-2 Usługi prowadzenia bufetów, 55523100-3 Usługi w zakresie posiłków szkolnych</w:t>
            </w:r>
          </w:p>
        </w:tc>
        <w:tc>
          <w:tcPr>
            <w:tcW w:w="0" w:type="auto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Usługi hotelowe i restauracyjne</w:t>
            </w:r>
          </w:p>
        </w:tc>
      </w:tr>
      <w:tr w:rsidR="009D734B" w:rsidRPr="003C108E" w:rsidTr="009D734B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79100000-5 do 79140000-7; 75231100-5</w:t>
            </w:r>
          </w:p>
        </w:tc>
        <w:tc>
          <w:tcPr>
            <w:tcW w:w="0" w:type="auto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Usługi prawne, niewyłączone na mocy art. 10 lit. d)</w:t>
            </w:r>
          </w:p>
          <w:p w:rsidR="00BE31DD" w:rsidRPr="003C108E" w:rsidRDefault="00BE31DD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:rsidR="00BE31DD" w:rsidRPr="003C108E" w:rsidRDefault="00BE31DD" w:rsidP="009D734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lang w:eastAsia="pl-PL"/>
              </w:rPr>
              <w:t>(wg art. 10 lit. d wyłączone są</w:t>
            </w:r>
          </w:p>
          <w:p w:rsidR="00BE31DD" w:rsidRPr="003C108E" w:rsidRDefault="00BE31DD" w:rsidP="00BE31D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lang w:eastAsia="pl-PL"/>
              </w:rPr>
              <w:t>dowolne z następujących usług prawnych:</w:t>
            </w:r>
          </w:p>
          <w:p w:rsidR="00BE31DD" w:rsidRPr="003C108E" w:rsidRDefault="00BE31DD" w:rsidP="00BE31D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lang w:eastAsia="pl-PL"/>
              </w:rPr>
              <w:t xml:space="preserve">(i) zastępstwa prawnego klienta, </w:t>
            </w:r>
            <w:r w:rsidRPr="003C108E">
              <w:rPr>
                <w:rFonts w:ascii="Calibri" w:eastAsia="Times New Roman" w:hAnsi="Calibri" w:cs="Calibri"/>
                <w:lang w:eastAsia="pl-PL"/>
              </w:rPr>
              <w:lastRenderedPageBreak/>
              <w:t xml:space="preserve">wykonywanego przez prawnika w </w:t>
            </w:r>
            <w:r w:rsidRPr="003C108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rozumieniu </w:t>
            </w:r>
            <w:hyperlink r:id="rId6" w:anchor="/document/67427439?unitId=art(1)&amp;cm=DOCUMENT" w:tgtFrame="_blank" w:history="1">
              <w:r w:rsidRPr="003C108E">
                <w:rPr>
                  <w:rStyle w:val="Hipercze"/>
                  <w:rFonts w:ascii="Calibri" w:eastAsia="Times New Roman" w:hAnsi="Calibri" w:cs="Calibri"/>
                  <w:color w:val="000000" w:themeColor="text1"/>
                  <w:u w:val="none"/>
                  <w:lang w:eastAsia="pl-PL"/>
                </w:rPr>
                <w:t>art. 1</w:t>
              </w:r>
            </w:hyperlink>
            <w:r w:rsidRPr="003C108E">
              <w:rPr>
                <w:rFonts w:ascii="Calibri" w:eastAsia="Times New Roman" w:hAnsi="Calibri" w:cs="Calibri"/>
                <w:lang w:eastAsia="pl-PL"/>
              </w:rPr>
              <w:t xml:space="preserve"> dyrektywy Rady 77/249/EWG w:</w:t>
            </w:r>
          </w:p>
          <w:p w:rsidR="00BE31DD" w:rsidRPr="003C108E" w:rsidRDefault="00BE31DD" w:rsidP="00BE31D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- postępowaniu arbitrażowym lub pojednawczym toczącym się w państwie członkowskim, państwie trzecim lub przed międzynarodową instancją arbitrażową lub pojednawczą, lub</w:t>
            </w:r>
          </w:p>
          <w:p w:rsidR="00BE31DD" w:rsidRPr="003C108E" w:rsidRDefault="00BE31DD" w:rsidP="00BE31D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- postępowaniu sądowym toczącym się przed sądami, trybunałami lub przed organami publicznymi państwa członkowskiego lub państwa trzeciego lub przed międzynarodowymi sądami, trybunałami lub instytucjami;</w:t>
            </w:r>
          </w:p>
          <w:p w:rsidR="00BE31DD" w:rsidRPr="003C108E" w:rsidRDefault="00BE31DD" w:rsidP="00BE31D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(ii) porad prawnych udzielanych w ramach przygotowywania dowolnego z postępowań, o których mowa w </w:t>
            </w:r>
            <w:proofErr w:type="spellStart"/>
            <w:r w:rsidRPr="003C108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ppkt</w:t>
            </w:r>
            <w:proofErr w:type="spellEnd"/>
            <w:r w:rsidRPr="003C108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 (i) niniejszej litery, lub w przypadku gdy istnieją konkretne przesłanki i duże prawdopodobieństwo, że sprawa, której dotyczą porady, stanie się przedmiotem takich postępowań, pod warunkiem że porad tych udziela prawnik w rozumieniu </w:t>
            </w:r>
            <w:hyperlink r:id="rId7" w:anchor="/document/67427439?unitId=art(1)&amp;cm=DOCUMENT" w:tgtFrame="_blank" w:history="1">
              <w:r w:rsidRPr="003C108E">
                <w:rPr>
                  <w:rStyle w:val="Hipercze"/>
                  <w:rFonts w:ascii="Calibri" w:eastAsia="Times New Roman" w:hAnsi="Calibri" w:cs="Calibri"/>
                  <w:color w:val="000000" w:themeColor="text1"/>
                  <w:u w:val="none"/>
                  <w:lang w:eastAsia="pl-PL"/>
                </w:rPr>
                <w:t>art. 1</w:t>
              </w:r>
            </w:hyperlink>
            <w:r w:rsidRPr="003C108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 dyrektywy 77/249/EWG;</w:t>
            </w:r>
          </w:p>
          <w:p w:rsidR="00BE31DD" w:rsidRPr="003C108E" w:rsidRDefault="00BE31DD" w:rsidP="00BE31D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(iii) usług poświadczania i uwierzytelniania dokumentów, które to usługi muszą świadczyć notariusze;</w:t>
            </w:r>
          </w:p>
          <w:p w:rsidR="00BE31DD" w:rsidRPr="003C108E" w:rsidRDefault="00BE31DD" w:rsidP="00BE31D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(iv) usług prawnych świadczonych przez powierników lub wyznaczonych opiekunów lub innych usług prawnych, których wykonawcy są wyznaczani przez sąd lub trybunał danego państwa członkowskiego lub wyznaczani z mocy prawa w celu wykonania konkretnych zadań pod nadzorem takich trybunałów lub sądów;</w:t>
            </w:r>
          </w:p>
          <w:p w:rsidR="00BE31DD" w:rsidRPr="003C108E" w:rsidRDefault="00BE31DD" w:rsidP="00BE31D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(v) pozostałych usług prawnych, które w danym państwie członkowskim są powiązane, nawet sporadycznie, ze sprawowaniem władzy publicznej);</w:t>
            </w:r>
          </w:p>
        </w:tc>
      </w:tr>
      <w:tr w:rsidR="009D734B" w:rsidRPr="003C108E" w:rsidTr="009D734B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>75100000-7 do 75120000-3; 75123000-4; 75125000-8 do 75131000-3</w:t>
            </w:r>
          </w:p>
        </w:tc>
        <w:tc>
          <w:tcPr>
            <w:tcW w:w="0" w:type="auto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Inne usługi administracyjne i rządowe</w:t>
            </w:r>
          </w:p>
        </w:tc>
      </w:tr>
      <w:tr w:rsidR="009D734B" w:rsidRPr="003C108E" w:rsidTr="009D734B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75200000-8 do 75231000-4</w:t>
            </w:r>
          </w:p>
        </w:tc>
        <w:tc>
          <w:tcPr>
            <w:tcW w:w="0" w:type="auto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Świadczenie usług na rzecz społeczności</w:t>
            </w:r>
          </w:p>
        </w:tc>
      </w:tr>
      <w:tr w:rsidR="009D734B" w:rsidRPr="003C108E" w:rsidTr="009D734B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75231210-9 do 75231230-5; 75240000-0 do 75252000-7; 794300000-7; 98113100-9</w:t>
            </w:r>
          </w:p>
        </w:tc>
        <w:tc>
          <w:tcPr>
            <w:tcW w:w="0" w:type="auto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Usługi w zakresie więziennictwa, bezpieczeństwa publicznego i ratownictwa, o ile nie są wyłączone na mocy art. 10 lit. h)</w:t>
            </w:r>
          </w:p>
          <w:p w:rsidR="00BE31DD" w:rsidRPr="003C108E" w:rsidRDefault="00BE31DD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:rsidR="00BE31DD" w:rsidRPr="003C108E" w:rsidRDefault="00BE31DD" w:rsidP="009D734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lang w:eastAsia="pl-PL"/>
              </w:rPr>
              <w:t xml:space="preserve">(Wg art. 10 lit. h wyłączone są </w:t>
            </w:r>
            <w:r w:rsidRPr="003C108E">
              <w:rPr>
                <w:rFonts w:ascii="Calibri" w:hAnsi="Calibri" w:cs="Calibri"/>
                <w:color w:val="333333"/>
                <w:shd w:val="clear" w:color="auto" w:fill="FFFFFF"/>
              </w:rPr>
              <w:t xml:space="preserve">usługi w dziedzinie obrony cywilnej, ochrony ludności i zapobiegania niebezpieczeństwom, </w:t>
            </w:r>
            <w:r w:rsidRPr="003C108E">
              <w:rPr>
                <w:rFonts w:ascii="Calibri" w:hAnsi="Calibri" w:cs="Calibri"/>
                <w:color w:val="333333"/>
                <w:shd w:val="clear" w:color="auto" w:fill="FFFFFF"/>
              </w:rPr>
              <w:lastRenderedPageBreak/>
              <w:t>świadczone przez organizacje lub stowarzyszenia o charakterze niekomercyjnym i objęte następującymi kodami CPV: 75250000-3, 75251000-0, 75251100-1, 75251110-4, 75251120-7, 75252000-7, 75222000-8; 98113100-9</w:t>
            </w:r>
            <w:r w:rsidR="005F1515" w:rsidRPr="003C108E">
              <w:rPr>
                <w:rFonts w:ascii="Calibri" w:hAnsi="Calibri" w:cs="Calibri"/>
                <w:color w:val="333333"/>
                <w:shd w:val="clear" w:color="auto" w:fill="FFFFFF"/>
              </w:rPr>
              <w:t>)</w:t>
            </w:r>
            <w:r w:rsidRPr="003C108E">
              <w:rPr>
                <w:rFonts w:ascii="Calibri" w:hAnsi="Calibri" w:cs="Calibri"/>
                <w:color w:val="333333"/>
                <w:shd w:val="clear" w:color="auto" w:fill="FFFFFF"/>
              </w:rPr>
              <w:t>; 85143000-3, z wyjątkiem usług transportu sanitarnego pacjentów);</w:t>
            </w:r>
          </w:p>
        </w:tc>
      </w:tr>
      <w:tr w:rsidR="009D734B" w:rsidRPr="003C108E" w:rsidTr="009D734B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>79700000-1 do 79721000-4 [Usługi detektywistyczne i ochroniarskie, usługi ochroniarskie, usługi nadzoru przy użyciu alarmu, usługi strażnicze, usługi w zakresie nadzoru, usługi systemu namierzania, usługi w zakresie poszukiwania osób ukrywających się, usługi patrolowe, usługi w zakresie wydawania znaczków identyfikacyjnych, usługi detektywistyczne i usługi agencji detektywistycznych] 79722000-1 [Usługi grafologiczne], 79723000-8 [Usługi analizy odpadów]</w:t>
            </w:r>
          </w:p>
        </w:tc>
        <w:tc>
          <w:tcPr>
            <w:tcW w:w="0" w:type="auto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Usługi detektywistyczne i ochroniarskie</w:t>
            </w:r>
          </w:p>
        </w:tc>
      </w:tr>
      <w:tr w:rsidR="009D734B" w:rsidRPr="003C108E" w:rsidTr="009D734B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98900000-2 [Usługi świadczone przez zagraniczne organizacje i organy] i 98910000-5 [Usługi specjalne dla międzynarodowych organizacji i organów]</w:t>
            </w:r>
          </w:p>
        </w:tc>
        <w:tc>
          <w:tcPr>
            <w:tcW w:w="0" w:type="auto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Usługi międzynarodowe</w:t>
            </w:r>
          </w:p>
        </w:tc>
      </w:tr>
      <w:tr w:rsidR="009D734B" w:rsidRPr="003C108E" w:rsidTr="009D734B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64000000-6 [Usługi pocztowe i telekomunikacyjne], 64100000-7 [Usługi pocztowe i kurierskie], 64110000-0 [Usługi pocztowe], 64111000-7 [Usługi pocztowe dotyczące gazet i czasopism], 64112000-4 [Usługi pocztowe dotyczące listów], 64113000-1 [Usługi pocztowe dotyczące paczek], 64114000-8 [Usługi okienka pocztowego], 64115000-5 [Wynajem skrzynek pocztowych], 64116000-2 [Usługi poste-restante], 64122000-7 [Wewnętrzne biurowe usługi pocztowe i kurierskie]</w:t>
            </w:r>
          </w:p>
        </w:tc>
        <w:tc>
          <w:tcPr>
            <w:tcW w:w="0" w:type="auto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Usługi pocztowe</w:t>
            </w:r>
          </w:p>
        </w:tc>
      </w:tr>
      <w:tr w:rsidR="009D734B" w:rsidRPr="003C108E" w:rsidTr="009D734B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50116510-9 [Usługi w zakresie formowania opon], 71550000-8 [Usługi kowalskie]</w:t>
            </w:r>
          </w:p>
        </w:tc>
        <w:tc>
          <w:tcPr>
            <w:tcW w:w="0" w:type="auto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Usługi różne</w:t>
            </w:r>
          </w:p>
        </w:tc>
      </w:tr>
      <w:tr w:rsidR="009D734B" w:rsidRPr="003C108E" w:rsidTr="009D734B">
        <w:tc>
          <w:tcPr>
            <w:tcW w:w="0" w:type="auto"/>
            <w:gridSpan w:val="2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vertAlign w:val="superscript"/>
                <w:lang w:eastAsia="pl-PL"/>
              </w:rPr>
              <w:t>(1)</w:t>
            </w: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Usługi te n</w:t>
            </w:r>
            <w:r w:rsidR="004A1FB2"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ie są objęte zakresem niniejszego załącznika</w:t>
            </w: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, jeżeli zorganizowane są jako usługi o charakterze nieekonomicznym świadczone w interesie ogólnym. Państwa członkowskie mogą organizować świadczenie obowiązkowych usług </w:t>
            </w: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>społecznych lub innych usług jako usług świadczonych w interesie ogólnym lub jako usług o charakterze nieekonomicznym świadczonych w interesie ogólnym.</w:t>
            </w:r>
          </w:p>
        </w:tc>
      </w:tr>
    </w:tbl>
    <w:p w:rsidR="00182CC4" w:rsidRPr="003C108E" w:rsidRDefault="000E3EA4">
      <w:pPr>
        <w:rPr>
          <w:rFonts w:ascii="Calibri" w:hAnsi="Calibri" w:cs="Calibri"/>
        </w:rPr>
      </w:pPr>
    </w:p>
    <w:sectPr w:rsidR="00182CC4" w:rsidRPr="003C108E" w:rsidSect="003C10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EA4" w:rsidRDefault="000E3EA4" w:rsidP="003C108E">
      <w:pPr>
        <w:spacing w:after="0" w:line="240" w:lineRule="auto"/>
      </w:pPr>
      <w:r>
        <w:separator/>
      </w:r>
    </w:p>
  </w:endnote>
  <w:endnote w:type="continuationSeparator" w:id="0">
    <w:p w:rsidR="000E3EA4" w:rsidRDefault="000E3EA4" w:rsidP="003C1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6F7" w:rsidRDefault="004D36F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6F7" w:rsidRDefault="004D36F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6F7" w:rsidRDefault="004D36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EA4" w:rsidRDefault="000E3EA4" w:rsidP="003C108E">
      <w:pPr>
        <w:spacing w:after="0" w:line="240" w:lineRule="auto"/>
      </w:pPr>
      <w:r>
        <w:separator/>
      </w:r>
    </w:p>
  </w:footnote>
  <w:footnote w:type="continuationSeparator" w:id="0">
    <w:p w:rsidR="000E3EA4" w:rsidRDefault="000E3EA4" w:rsidP="003C1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6F7" w:rsidRDefault="004D36F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6F7" w:rsidRDefault="004D36F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08E" w:rsidRPr="003C108E" w:rsidRDefault="003C108E" w:rsidP="004D36F7">
    <w:pPr>
      <w:keepNext/>
      <w:tabs>
        <w:tab w:val="left" w:pos="0"/>
      </w:tabs>
      <w:suppressAutoHyphens/>
      <w:spacing w:after="0" w:line="240" w:lineRule="auto"/>
      <w:ind w:left="4111"/>
      <w:jc w:val="both"/>
      <w:outlineLvl w:val="0"/>
      <w:rPr>
        <w:rFonts w:ascii="Calibri" w:eastAsia="Times New Roman" w:hAnsi="Calibri" w:cs="Calibri"/>
        <w:bCs/>
        <w:sz w:val="16"/>
        <w:szCs w:val="16"/>
        <w:lang w:eastAsia="ar-SA"/>
      </w:rPr>
    </w:pPr>
    <w:r w:rsidRPr="003C108E">
      <w:rPr>
        <w:rFonts w:ascii="Calibri" w:eastAsia="Times New Roman" w:hAnsi="Calibri" w:cs="Calibri"/>
        <w:bCs/>
        <w:sz w:val="16"/>
        <w:szCs w:val="16"/>
        <w:lang w:eastAsia="ar-SA"/>
      </w:rPr>
      <w:t>Załącznik nr 5</w:t>
    </w:r>
  </w:p>
  <w:p w:rsidR="003C108E" w:rsidRPr="003C108E" w:rsidRDefault="003C108E" w:rsidP="004D36F7">
    <w:pPr>
      <w:spacing w:after="0" w:line="240" w:lineRule="auto"/>
      <w:ind w:left="4111"/>
      <w:jc w:val="both"/>
      <w:rPr>
        <w:rFonts w:ascii="Calibri" w:eastAsia="Times New Roman" w:hAnsi="Calibri" w:cs="Calibri"/>
        <w:sz w:val="16"/>
        <w:szCs w:val="16"/>
        <w:lang w:eastAsia="ar-SA"/>
      </w:rPr>
    </w:pPr>
    <w:r w:rsidRPr="003C108E">
      <w:rPr>
        <w:rFonts w:ascii="Calibri" w:eastAsia="Times New Roman" w:hAnsi="Calibri" w:cs="Calibri"/>
        <w:sz w:val="16"/>
        <w:szCs w:val="16"/>
        <w:lang w:eastAsia="ar-SA"/>
      </w:rPr>
      <w:t xml:space="preserve">do „Regulaminu udzielania zamówień publicznych w Uniwersytecie Medycznym we Wrocławiu z wyłączeniem stosowania przepisów ustawy z dnia 11 września 2019 r. Prawo zamówień publicznych (Dz. U. z 2019 r., poz. 2019, z </w:t>
    </w:r>
    <w:proofErr w:type="spellStart"/>
    <w:r w:rsidRPr="003C108E">
      <w:rPr>
        <w:rFonts w:ascii="Calibri" w:eastAsia="Times New Roman" w:hAnsi="Calibri" w:cs="Calibri"/>
        <w:sz w:val="16"/>
        <w:szCs w:val="16"/>
        <w:lang w:eastAsia="ar-SA"/>
      </w:rPr>
      <w:t>późn</w:t>
    </w:r>
    <w:proofErr w:type="spellEnd"/>
    <w:r w:rsidRPr="003C108E">
      <w:rPr>
        <w:rFonts w:ascii="Calibri" w:eastAsia="Times New Roman" w:hAnsi="Calibri" w:cs="Calibri"/>
        <w:sz w:val="16"/>
        <w:szCs w:val="16"/>
        <w:lang w:eastAsia="ar-SA"/>
      </w:rPr>
      <w:t xml:space="preserve">. zm.), o którym mowa w art. 2 ust. 1 pkt 1 tej ustawy, ze względu na wartość szacunkową netto zamówienia mniejszą niż 130 000 złotych” (zarządzenie </w:t>
    </w:r>
    <w:r w:rsidR="004D36F7">
      <w:rPr>
        <w:rFonts w:ascii="Calibri" w:eastAsia="Times New Roman" w:hAnsi="Calibri" w:cs="Calibri"/>
        <w:color w:val="000000"/>
        <w:sz w:val="16"/>
        <w:szCs w:val="16"/>
        <w:lang w:eastAsia="ar-SA"/>
      </w:rPr>
      <w:t xml:space="preserve">nr 57 </w:t>
    </w:r>
    <w:r w:rsidRPr="003C108E">
      <w:rPr>
        <w:rFonts w:ascii="Calibri" w:eastAsia="Times New Roman" w:hAnsi="Calibri" w:cs="Calibri"/>
        <w:sz w:val="16"/>
        <w:szCs w:val="16"/>
        <w:lang w:eastAsia="ar-SA"/>
      </w:rPr>
      <w:t xml:space="preserve">/XVII R/2021 z dnia </w:t>
    </w:r>
    <w:r w:rsidR="004D36F7">
      <w:rPr>
        <w:rFonts w:ascii="Calibri" w:eastAsia="Times New Roman" w:hAnsi="Calibri" w:cs="Calibri"/>
        <w:sz w:val="16"/>
        <w:szCs w:val="16"/>
        <w:lang w:eastAsia="ar-SA"/>
      </w:rPr>
      <w:t>8 marca</w:t>
    </w:r>
    <w:r w:rsidRPr="003C108E">
      <w:rPr>
        <w:rFonts w:ascii="Calibri" w:eastAsia="Times New Roman" w:hAnsi="Calibri" w:cs="Calibri"/>
        <w:sz w:val="16"/>
        <w:szCs w:val="16"/>
        <w:lang w:eastAsia="ar-SA"/>
      </w:rPr>
      <w:t xml:space="preserve"> 2021 r.)</w:t>
    </w:r>
  </w:p>
  <w:p w:rsidR="003C108E" w:rsidRDefault="003C108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34B"/>
    <w:rsid w:val="0009078E"/>
    <w:rsid w:val="000E3EA4"/>
    <w:rsid w:val="001510A1"/>
    <w:rsid w:val="003C108E"/>
    <w:rsid w:val="00406B57"/>
    <w:rsid w:val="004A1FB2"/>
    <w:rsid w:val="004D36F7"/>
    <w:rsid w:val="00577FDF"/>
    <w:rsid w:val="005F1515"/>
    <w:rsid w:val="006119B6"/>
    <w:rsid w:val="007D314B"/>
    <w:rsid w:val="009D734B"/>
    <w:rsid w:val="00A36A2B"/>
    <w:rsid w:val="00AD08FE"/>
    <w:rsid w:val="00B2490E"/>
    <w:rsid w:val="00BE31DD"/>
    <w:rsid w:val="00C061AE"/>
    <w:rsid w:val="00EF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74693C-53B2-4925-80A4-C636CBDF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E31D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1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0A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C1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08E"/>
  </w:style>
  <w:style w:type="paragraph" w:styleId="Stopka">
    <w:name w:val="footer"/>
    <w:basedOn w:val="Normalny"/>
    <w:link w:val="StopkaZnak"/>
    <w:uiPriority w:val="99"/>
    <w:unhideWhenUsed/>
    <w:rsid w:val="003C1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1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09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9833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199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832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3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71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21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84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60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1015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</dc:creator>
  <cp:keywords/>
  <dc:description/>
  <cp:lastModifiedBy>MonikaK</cp:lastModifiedBy>
  <cp:revision>2</cp:revision>
  <cp:lastPrinted>2021-02-05T12:27:00Z</cp:lastPrinted>
  <dcterms:created xsi:type="dcterms:W3CDTF">2021-03-17T14:18:00Z</dcterms:created>
  <dcterms:modified xsi:type="dcterms:W3CDTF">2021-03-17T14:18:00Z</dcterms:modified>
</cp:coreProperties>
</file>