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8BFD3" w14:textId="7E4721F7" w:rsidR="007B6C7F" w:rsidRPr="00275999" w:rsidRDefault="00F93523" w:rsidP="004F06FB">
      <w:pPr>
        <w:pageBreakBefore/>
        <w:tabs>
          <w:tab w:val="left" w:pos="0"/>
        </w:tabs>
        <w:ind w:right="470"/>
        <w:jc w:val="right"/>
        <w:rPr>
          <w:rFonts w:ascii="Verdana" w:hAnsi="Verdana" w:cs="Verdana"/>
          <w:b/>
          <w:i/>
          <w:sz w:val="18"/>
          <w:szCs w:val="18"/>
        </w:rPr>
      </w:pP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sidR="007B6C7F" w:rsidRPr="00275999">
        <w:rPr>
          <w:rFonts w:ascii="Verdana" w:hAnsi="Verdana" w:cs="Verdana"/>
          <w:b/>
          <w:bCs/>
          <w:sz w:val="18"/>
        </w:rPr>
        <w:t xml:space="preserve">Załącznik nr 3 do </w:t>
      </w:r>
      <w:proofErr w:type="spellStart"/>
      <w:r w:rsidR="007B6C7F" w:rsidRPr="00275999">
        <w:rPr>
          <w:rFonts w:ascii="Verdana" w:hAnsi="Verdana" w:cs="Verdana"/>
          <w:b/>
          <w:bCs/>
          <w:sz w:val="18"/>
        </w:rPr>
        <w:t>Siwz</w:t>
      </w:r>
      <w:proofErr w:type="spellEnd"/>
      <w:r w:rsidR="007B6C7F"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Pzp),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09EF0595"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A51055" w:rsidRPr="00311A3F">
        <w:rPr>
          <w:rFonts w:ascii="Verdana" w:hAnsi="Verdana"/>
          <w:b/>
          <w:sz w:val="18"/>
          <w:szCs w:val="18"/>
        </w:rPr>
        <w:t xml:space="preserve">Dostawa sprzętu medycznego na potrzeby jednostek Uniwersytetu Medycznego we Wrocławiu.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Oświadczam, że nie podlegam wykluczeniu z postępowania na podstawie art. 24 ust 1 pkt 12-23 Pzp.</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Pzp </w:t>
      </w:r>
      <w:r w:rsidRPr="00275999">
        <w:rPr>
          <w:rFonts w:ascii="Verdana" w:eastAsia="Calibri" w:hAnsi="Verdana" w:cs="Verdana"/>
          <w:i/>
          <w:sz w:val="18"/>
          <w:szCs w:val="18"/>
          <w:lang w:eastAsia="en-US"/>
        </w:rPr>
        <w:t>(podać mającą zastosowanie podstawę wykluczenia spośród wymienionych w art. 24 ust. 1 pkt 13-14, 16-20 Pzp).</w:t>
      </w:r>
      <w:r w:rsidRPr="00275999">
        <w:rPr>
          <w:rFonts w:ascii="Verdana" w:eastAsia="Calibri" w:hAnsi="Verdana" w:cs="Verdana"/>
          <w:sz w:val="18"/>
          <w:szCs w:val="18"/>
          <w:lang w:eastAsia="en-US"/>
        </w:rPr>
        <w:t xml:space="preserve"> Jednocześnie oświadczam, że w związku z ww. okolicznością, na podstawie art. 24 ust. 8 Pzp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lastRenderedPageBreak/>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275999">
        <w:rPr>
          <w:rFonts w:eastAsiaTheme="majorEastAsia"/>
        </w:rPr>
        <w:tab/>
      </w:r>
    </w:p>
    <w:p w14:paraId="014ADF2E" w14:textId="31B5DA8E" w:rsidR="00E41B31" w:rsidRPr="00275999" w:rsidRDefault="00940A33" w:rsidP="00942DBD">
      <w:pPr>
        <w:pStyle w:val="Nagwek3"/>
        <w:spacing w:line="240" w:lineRule="exact"/>
        <w:rPr>
          <w:rFonts w:eastAsiaTheme="majorEastAsia"/>
          <w:color w:val="auto"/>
        </w:rPr>
      </w:pPr>
      <w:r>
        <w:rPr>
          <w:rFonts w:eastAsiaTheme="majorEastAsia"/>
          <w:color w:val="auto"/>
        </w:rPr>
        <w:lastRenderedPageBreak/>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00942DBD" w:rsidRPr="00275999">
        <w:rPr>
          <w:rFonts w:eastAsiaTheme="majorEastAsia"/>
          <w:color w:val="auto"/>
        </w:rPr>
        <w:t xml:space="preserve">Załącznik nr 4 do </w:t>
      </w:r>
      <w:proofErr w:type="spellStart"/>
      <w:r w:rsidR="00942DBD" w:rsidRPr="00275999">
        <w:rPr>
          <w:rFonts w:eastAsiaTheme="majorEastAsia"/>
          <w:color w:val="auto"/>
        </w:rPr>
        <w:t>Siwz</w:t>
      </w:r>
      <w:proofErr w:type="spellEnd"/>
      <w:r w:rsidR="00942DBD"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do tej samej grupy kapitałowej, o której mowa w art. 24 ust. 1 pkt 23 Pzp</w:t>
      </w:r>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40374E71" w:rsidR="0064760B" w:rsidRPr="00F515CF" w:rsidRDefault="00692E3B" w:rsidP="00F515CF">
      <w:pPr>
        <w:pStyle w:val="Nagwek3"/>
        <w:spacing w:after="0" w:line="240" w:lineRule="auto"/>
        <w:rPr>
          <w:rFonts w:eastAsiaTheme="majorEastAsia"/>
          <w:color w:val="auto"/>
        </w:rPr>
      </w:pPr>
      <w:r w:rsidRPr="00F515CF">
        <w:rPr>
          <w:rFonts w:eastAsiaTheme="majorEastAsia"/>
          <w:color w:val="auto"/>
        </w:rPr>
        <w:lastRenderedPageBreak/>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 xml:space="preserve">Załącznik nr 5 do </w:t>
      </w:r>
      <w:proofErr w:type="spellStart"/>
      <w:r w:rsidR="0064760B" w:rsidRPr="00F515CF">
        <w:rPr>
          <w:rFonts w:eastAsiaTheme="majorEastAsia"/>
          <w:color w:val="auto"/>
        </w:rPr>
        <w:t>Siwz</w:t>
      </w:r>
      <w:proofErr w:type="spellEnd"/>
    </w:p>
    <w:p w14:paraId="0F0854D6" w14:textId="77777777" w:rsidR="00F515CF" w:rsidRDefault="00F515CF" w:rsidP="00F515CF">
      <w:pPr>
        <w:jc w:val="center"/>
        <w:rPr>
          <w:rFonts w:ascii="Verdana" w:eastAsiaTheme="majorEastAsia" w:hAnsi="Verdana"/>
          <w:b/>
          <w:sz w:val="18"/>
          <w:szCs w:val="18"/>
        </w:rPr>
      </w:pPr>
    </w:p>
    <w:p w14:paraId="45F23FE5" w14:textId="3FCC28EA"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F93523">
        <w:rPr>
          <w:rFonts w:ascii="Verdana" w:eastAsiaTheme="majorEastAsia" w:hAnsi="Verdana"/>
          <w:b/>
          <w:sz w:val="18"/>
          <w:szCs w:val="18"/>
        </w:rPr>
        <w:t>79</w:t>
      </w:r>
      <w:r w:rsidRPr="00F515CF">
        <w:rPr>
          <w:rFonts w:ascii="Verdana" w:eastAsiaTheme="majorEastAsia" w:hAnsi="Verdana"/>
          <w:b/>
          <w:sz w:val="18"/>
          <w:szCs w:val="18"/>
        </w:rPr>
        <w:t>/20 część …. – WZÓR</w:t>
      </w:r>
    </w:p>
    <w:p w14:paraId="7989FD8B" w14:textId="77777777" w:rsidR="0064760B" w:rsidRPr="00F515CF" w:rsidRDefault="0064760B" w:rsidP="00F515CF">
      <w:pPr>
        <w:ind w:right="-112"/>
        <w:rPr>
          <w:rFonts w:ascii="Verdana" w:hAnsi="Verdana"/>
          <w:b/>
          <w:sz w:val="18"/>
          <w:szCs w:val="18"/>
        </w:rPr>
      </w:pPr>
    </w:p>
    <w:p w14:paraId="3DD0B708" w14:textId="77777777"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Pr="00F515CF">
        <w:rPr>
          <w:rFonts w:ascii="Verdana" w:eastAsia="Calibri" w:hAnsi="Verdana"/>
          <w:sz w:val="18"/>
          <w:szCs w:val="18"/>
          <w:lang w:eastAsia="en-US"/>
        </w:rPr>
        <w:t>, zwanej dalej „Pzp”,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2C113D5F"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1C7F20">
        <w:rPr>
          <w:rFonts w:ascii="Verdana" w:hAnsi="Verdana"/>
          <w:sz w:val="18"/>
          <w:szCs w:val="18"/>
        </w:rPr>
        <w:t>79</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3B45A22F"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1C7F20">
        <w:rPr>
          <w:rFonts w:ascii="Verdana" w:eastAsia="Tahoma" w:hAnsi="Verdana"/>
          <w:bCs/>
          <w:sz w:val="18"/>
          <w:szCs w:val="18"/>
          <w:u w:color="000000"/>
          <w:bdr w:val="nil"/>
        </w:rPr>
        <w:t>6</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1C7F20">
        <w:rPr>
          <w:rFonts w:ascii="Verdana" w:eastAsia="Tahoma" w:hAnsi="Verdana"/>
          <w:bCs/>
          <w:sz w:val="18"/>
          <w:szCs w:val="18"/>
          <w:u w:color="000000"/>
          <w:bdr w:val="nil"/>
        </w:rPr>
        <w:t>6</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Podpisanie protokołu odbioru przedmiotu umowy zostanie dokonane po jego dostarczeniu, 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1C3890" w:rsidRDefault="0064760B" w:rsidP="00F515CF">
      <w:pPr>
        <w:ind w:left="284" w:right="-24"/>
        <w:jc w:val="center"/>
        <w:rPr>
          <w:rFonts w:ascii="Verdana" w:hAnsi="Verdana" w:cs="Verdana"/>
          <w:b/>
          <w:sz w:val="18"/>
          <w:szCs w:val="18"/>
        </w:rPr>
      </w:pPr>
      <w:r w:rsidRPr="001C3890">
        <w:rPr>
          <w:rFonts w:ascii="Verdana" w:hAnsi="Verdana" w:cs="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390DEF">
        <w:rPr>
          <w:rFonts w:ascii="Verdana" w:hAnsi="Verdana" w:cs="Verdana"/>
          <w:sz w:val="18"/>
          <w:szCs w:val="18"/>
        </w:rPr>
        <w:t>[_] PLN (</w:t>
      </w:r>
      <w:r w:rsidRPr="00F515CF">
        <w:rPr>
          <w:rFonts w:ascii="Verdana" w:hAnsi="Verdana" w:cs="Verdana"/>
          <w:sz w:val="18"/>
          <w:szCs w:val="18"/>
        </w:rPr>
        <w:t xml:space="preserve">słownie: </w:t>
      </w:r>
      <w:r w:rsidRPr="00390DEF">
        <w:rPr>
          <w:rFonts w:ascii="Verdana" w:hAnsi="Verdana" w:cs="Verdana"/>
          <w:sz w:val="18"/>
          <w:szCs w:val="18"/>
        </w:rPr>
        <w:t>[_]</w:t>
      </w:r>
      <w:r w:rsidRPr="00F515CF">
        <w:rPr>
          <w:rFonts w:ascii="Verdana" w:hAnsi="Verdana" w:cs="Verdana"/>
          <w:sz w:val="18"/>
          <w:szCs w:val="18"/>
        </w:rPr>
        <w:t xml:space="preserve"> </w:t>
      </w:r>
      <w:r w:rsidRPr="00F515CF">
        <w:rPr>
          <w:rFonts w:ascii="Verdana" w:hAnsi="Verdana" w:cs="Verdana"/>
          <w:sz w:val="18"/>
          <w:szCs w:val="18"/>
        </w:rPr>
        <w:lastRenderedPageBreak/>
        <w:t>złotych), brutto: </w:t>
      </w:r>
      <w:r w:rsidRPr="00390DEF">
        <w:rPr>
          <w:rFonts w:ascii="Verdana" w:hAnsi="Verdana" w:cs="Verdana"/>
          <w:sz w:val="18"/>
          <w:szCs w:val="18"/>
        </w:rPr>
        <w:t>[_]</w:t>
      </w:r>
      <w:r w:rsidRPr="00F515CF">
        <w:rPr>
          <w:rFonts w:ascii="Verdana" w:hAnsi="Verdana" w:cs="Verdana"/>
          <w:sz w:val="18"/>
          <w:szCs w:val="18"/>
        </w:rPr>
        <w:t xml:space="preserve"> </w:t>
      </w:r>
      <w:r w:rsidRPr="00390DEF">
        <w:rPr>
          <w:rFonts w:ascii="Verdana" w:hAnsi="Verdana" w:cs="Verdana"/>
          <w:sz w:val="18"/>
          <w:szCs w:val="18"/>
        </w:rPr>
        <w:t>PLN (</w:t>
      </w:r>
      <w:r w:rsidRPr="00F515CF">
        <w:rPr>
          <w:rFonts w:ascii="Verdana" w:hAnsi="Verdana" w:cs="Verdana"/>
          <w:sz w:val="18"/>
          <w:szCs w:val="18"/>
        </w:rPr>
        <w:t xml:space="preserve">słownie: </w:t>
      </w:r>
      <w:r w:rsidRPr="00390DEF">
        <w:rPr>
          <w:rFonts w:ascii="Verdana" w:hAnsi="Verdana" w:cs="Verdana"/>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5A932267" w14:textId="4FC2B97B" w:rsidR="00390DEF" w:rsidRDefault="0064760B" w:rsidP="00390DE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w:t>
      </w:r>
      <w:r w:rsidR="00390DEF">
        <w:rPr>
          <w:rFonts w:ascii="Verdana" w:hAnsi="Verdana" w:cs="Verdana"/>
          <w:sz w:val="18"/>
          <w:szCs w:val="18"/>
        </w:rPr>
        <w:t xml:space="preserve"> i konserwacji przedmiotu umowy.</w:t>
      </w:r>
    </w:p>
    <w:p w14:paraId="04B737EC" w14:textId="77777777" w:rsidR="0064760B" w:rsidRPr="00F515CF" w:rsidRDefault="0064760B" w:rsidP="00F515CF">
      <w:pPr>
        <w:tabs>
          <w:tab w:val="left" w:pos="4678"/>
        </w:tabs>
        <w:ind w:right="-24"/>
        <w:jc w:val="center"/>
        <w:rPr>
          <w:rFonts w:ascii="Verdana" w:hAnsi="Verdana"/>
          <w:b/>
          <w:sz w:val="18"/>
          <w:szCs w:val="18"/>
        </w:rPr>
      </w:pPr>
      <w:bookmarkStart w:id="1" w:name="_GoBack"/>
      <w:bookmarkEnd w:id="1"/>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P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lastRenderedPageBreak/>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5D482F57" w14:textId="77777777" w:rsidR="008071A7" w:rsidRPr="00423E30" w:rsidRDefault="002B7606" w:rsidP="001D6AD5">
      <w:pPr>
        <w:widowControl w:val="0"/>
        <w:numPr>
          <w:ilvl w:val="0"/>
          <w:numId w:val="103"/>
        </w:numPr>
        <w:tabs>
          <w:tab w:val="left" w:pos="426"/>
          <w:tab w:val="left" w:pos="1065"/>
          <w:tab w:val="right" w:pos="9072"/>
          <w:tab w:val="right" w:pos="9900"/>
        </w:tabs>
        <w:suppressAutoHyphens/>
        <w:ind w:right="-24"/>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2"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521B41A9"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215F4818" w:rsidR="0037080F" w:rsidRPr="001D6AD5" w:rsidRDefault="0064760B" w:rsidP="001D6AD5">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bookmarkEnd w:id="2"/>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z okoliczności, o której mowa w art. 144 ust. 1 pkt 2-6 Pzp, albo, zgodnie z art. 144 ust. 1 pkt 1 Pzp,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 xml:space="preserve">pandemią </w:t>
      </w:r>
      <w:proofErr w:type="spellStart"/>
      <w:r w:rsidRPr="00F515CF">
        <w:rPr>
          <w:rFonts w:ascii="Verdana" w:hAnsi="Verdana" w:cs="Arial"/>
          <w:sz w:val="18"/>
          <w:szCs w:val="18"/>
          <w:shd w:val="clear" w:color="auto" w:fill="FFFFFF"/>
        </w:rPr>
        <w:t>koronawirusa</w:t>
      </w:r>
      <w:proofErr w:type="spellEnd"/>
      <w:r w:rsidRPr="00F515CF">
        <w:rPr>
          <w:rFonts w:ascii="Verdana" w:hAnsi="Verdana" w:cs="Arial"/>
          <w:sz w:val="18"/>
          <w:szCs w:val="18"/>
          <w:shd w:val="clear" w:color="auto" w:fill="FFFFFF"/>
        </w:rPr>
        <w:t xml:space="preserve">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Pzp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218B7CF0"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9E7ACA">
        <w:rPr>
          <w:rFonts w:ascii="Verdana" w:hAnsi="Verdana"/>
          <w:b/>
          <w:bCs/>
          <w:sz w:val="18"/>
          <w:szCs w:val="18"/>
        </w:rPr>
        <w:t>79</w:t>
      </w:r>
      <w:r w:rsidRPr="00275999">
        <w:rPr>
          <w:rFonts w:ascii="Verdana" w:hAnsi="Verdana"/>
          <w:b/>
          <w:bCs/>
          <w:sz w:val="18"/>
          <w:szCs w:val="18"/>
        </w:rPr>
        <w:t>/20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1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6BE4" w14:textId="77777777" w:rsidR="00B8375A" w:rsidRDefault="00B8375A">
      <w:r>
        <w:separator/>
      </w:r>
    </w:p>
  </w:endnote>
  <w:endnote w:type="continuationSeparator" w:id="0">
    <w:p w14:paraId="30E9B60B" w14:textId="77777777" w:rsidR="00B8375A" w:rsidRDefault="00B8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935" w14:textId="77777777" w:rsidR="00854E95" w:rsidRDefault="00854E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854E95" w:rsidRDefault="00854E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F283" w14:textId="34F22B8B" w:rsidR="00854E95" w:rsidRPr="00242C8B" w:rsidRDefault="00854E9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F3B53">
      <w:rPr>
        <w:caps/>
        <w:noProof/>
        <w:sz w:val="16"/>
        <w:szCs w:val="16"/>
      </w:rPr>
      <w:t>7</w:t>
    </w:r>
    <w:r w:rsidRPr="00242C8B">
      <w:rPr>
        <w:caps/>
        <w:sz w:val="16"/>
        <w:szCs w:val="16"/>
      </w:rPr>
      <w:fldChar w:fldCharType="end"/>
    </w:r>
  </w:p>
  <w:p w14:paraId="7ED0A9B7" w14:textId="77777777" w:rsidR="00854E95" w:rsidRDefault="00854E95" w:rsidP="003918F3">
    <w:pPr>
      <w:pStyle w:val="Stopka"/>
    </w:pPr>
  </w:p>
  <w:p w14:paraId="260BCBC4" w14:textId="26D2D78E" w:rsidR="00854E95" w:rsidRDefault="00854E95" w:rsidP="003918F3">
    <w:pPr>
      <w:pStyle w:val="Stopka"/>
      <w:rPr>
        <w:rFonts w:eastAsia="Batang"/>
        <w:sz w:val="20"/>
        <w:lang w:eastAsia="ar-SA"/>
      </w:rPr>
    </w:pPr>
    <w:r>
      <w:rPr>
        <w:rFonts w:eastAsia="Batang"/>
        <w:sz w:val="20"/>
        <w:lang w:eastAsia="ar-SA"/>
      </w:rPr>
      <w:t xml:space="preserve">                                                                                    </w:t>
    </w:r>
  </w:p>
  <w:p w14:paraId="39065459" w14:textId="77777777" w:rsidR="00854E95" w:rsidRDefault="00854E95"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0EDC8F60" w14:textId="679EDED0" w:rsidR="00854E95" w:rsidRPr="00E27654" w:rsidRDefault="00854E9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F3B53">
          <w:rPr>
            <w:noProof/>
            <w:sz w:val="16"/>
            <w:szCs w:val="16"/>
          </w:rPr>
          <w:t>4</w:t>
        </w:r>
        <w:r w:rsidRPr="00E27654">
          <w:rPr>
            <w:sz w:val="16"/>
            <w:szCs w:val="16"/>
          </w:rPr>
          <w:fldChar w:fldCharType="end"/>
        </w:r>
      </w:p>
    </w:sdtContent>
  </w:sdt>
  <w:p w14:paraId="07503204" w14:textId="77777777" w:rsidR="00854E95" w:rsidRDefault="00854E95" w:rsidP="003918F3">
    <w:pPr>
      <w:pStyle w:val="Stopka"/>
    </w:pPr>
  </w:p>
  <w:p w14:paraId="2A9B792E" w14:textId="2D628FE7" w:rsidR="00854E95" w:rsidRDefault="00854E95" w:rsidP="003918F3">
    <w:pPr>
      <w:pStyle w:val="Stopka"/>
      <w:rPr>
        <w:rFonts w:eastAsia="Batang"/>
        <w:sz w:val="20"/>
        <w:lang w:eastAsia="ar-SA"/>
      </w:rPr>
    </w:pPr>
    <w:r>
      <w:rPr>
        <w:rFonts w:eastAsia="Batang"/>
        <w:sz w:val="20"/>
        <w:lang w:eastAsia="ar-SA"/>
      </w:rPr>
      <w:t xml:space="preserve">                                                                                    </w:t>
    </w:r>
  </w:p>
  <w:p w14:paraId="3E750D2C" w14:textId="77777777" w:rsidR="00854E95" w:rsidRDefault="00854E95"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854E95" w:rsidRDefault="00854E95">
        <w:pPr>
          <w:pStyle w:val="Stopka"/>
          <w:jc w:val="right"/>
        </w:pPr>
        <w:r>
          <w:fldChar w:fldCharType="begin"/>
        </w:r>
        <w:r>
          <w:instrText>PAGE   \* MERGEFORMAT</w:instrText>
        </w:r>
        <w:r>
          <w:fldChar w:fldCharType="separate"/>
        </w:r>
        <w:r w:rsidR="009F3B53" w:rsidRPr="009F3B53">
          <w:rPr>
            <w:noProof/>
            <w:sz w:val="16"/>
            <w:szCs w:val="16"/>
          </w:rPr>
          <w:t>8</w:t>
        </w:r>
        <w:r>
          <w:fldChar w:fldCharType="end"/>
        </w:r>
      </w:p>
    </w:sdtContent>
  </w:sdt>
  <w:p w14:paraId="6A1453F6" w14:textId="77777777" w:rsidR="00854E95" w:rsidRDefault="00854E95" w:rsidP="00D30DD2">
    <w:pPr>
      <w:pStyle w:val="Stopka"/>
      <w:rPr>
        <w:rFonts w:eastAsia="Batang"/>
        <w:sz w:val="20"/>
        <w:lang w:eastAsia="ar-SA"/>
      </w:rPr>
    </w:pPr>
  </w:p>
  <w:p w14:paraId="25678D65" w14:textId="77777777" w:rsidR="00854E95" w:rsidRDefault="00854E95" w:rsidP="003918F3">
    <w:pPr>
      <w:pStyle w:val="Stopka"/>
    </w:pPr>
    <w:r>
      <w:tab/>
    </w:r>
  </w:p>
  <w:p w14:paraId="10A82559" w14:textId="32486662" w:rsidR="00854E95" w:rsidRDefault="00854E95" w:rsidP="003918F3">
    <w:pPr>
      <w:pStyle w:val="Stopka"/>
      <w:rPr>
        <w:rFonts w:eastAsia="Batang"/>
        <w:sz w:val="20"/>
        <w:lang w:eastAsia="ar-SA"/>
      </w:rPr>
    </w:pPr>
    <w:r>
      <w:rPr>
        <w:rFonts w:eastAsia="Batang"/>
        <w:sz w:val="20"/>
        <w:lang w:eastAsia="ar-SA"/>
      </w:rPr>
      <w:t xml:space="preserve">                                                                                    </w:t>
    </w:r>
  </w:p>
  <w:p w14:paraId="28E5F416" w14:textId="1CE3E71A" w:rsidR="00854E95" w:rsidRDefault="00854E95" w:rsidP="003918F3">
    <w:pPr>
      <w:tabs>
        <w:tab w:val="left" w:pos="1140"/>
      </w:tabs>
    </w:pPr>
  </w:p>
  <w:p w14:paraId="6E259C1F" w14:textId="77777777" w:rsidR="00854E95" w:rsidRDefault="00854E95"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3AB6" w14:textId="77777777" w:rsidR="00B8375A" w:rsidRDefault="00B8375A">
      <w:bookmarkStart w:id="0" w:name="_Hlk41430039"/>
      <w:bookmarkEnd w:id="0"/>
      <w:r>
        <w:separator/>
      </w:r>
    </w:p>
  </w:footnote>
  <w:footnote w:type="continuationSeparator" w:id="0">
    <w:p w14:paraId="5618DF72" w14:textId="77777777" w:rsidR="00B8375A" w:rsidRDefault="00B83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79C8" w14:textId="73CADCEA" w:rsidR="00854E95" w:rsidRPr="001505CE" w:rsidRDefault="00854E95" w:rsidP="001505CE">
    <w:pPr>
      <w:spacing w:line="240" w:lineRule="exact"/>
      <w:ind w:right="-97"/>
      <w:jc w:val="both"/>
      <w:rPr>
        <w:rFonts w:ascii="Verdana" w:hAnsi="Verdana"/>
        <w:b/>
        <w:bCs/>
        <w:sz w:val="16"/>
        <w:szCs w:val="16"/>
      </w:rPr>
    </w:pPr>
    <w:r w:rsidRPr="001505CE">
      <w:rPr>
        <w:rFonts w:ascii="Verdana" w:hAnsi="Verdana"/>
        <w:b/>
        <w:bCs/>
        <w:sz w:val="16"/>
        <w:szCs w:val="16"/>
      </w:rPr>
      <w:t>UMW/AZ/PN-79/20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5CB5" w14:textId="77777777" w:rsidR="00854E95" w:rsidRPr="001505CE" w:rsidRDefault="00854E95" w:rsidP="00F93523">
    <w:pPr>
      <w:spacing w:line="240" w:lineRule="exact"/>
      <w:ind w:right="-97"/>
      <w:jc w:val="both"/>
      <w:rPr>
        <w:rFonts w:ascii="Verdana" w:hAnsi="Verdana"/>
        <w:b/>
        <w:bCs/>
        <w:sz w:val="16"/>
        <w:szCs w:val="16"/>
      </w:rPr>
    </w:pPr>
    <w:r w:rsidRPr="001505CE">
      <w:rPr>
        <w:rFonts w:ascii="Verdana" w:hAnsi="Verdana"/>
        <w:b/>
        <w:bCs/>
        <w:sz w:val="16"/>
        <w:szCs w:val="16"/>
      </w:rPr>
      <w:t>UMW/AZ/PN-79/20</w:t>
    </w:r>
  </w:p>
  <w:p w14:paraId="7118172B" w14:textId="77777777" w:rsidR="00854E95" w:rsidRPr="00864EA1" w:rsidRDefault="00854E95"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E38E3A32"/>
    <w:lvl w:ilvl="0">
      <w:start w:val="6"/>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6E478B"/>
    <w:multiLevelType w:val="hybridMultilevel"/>
    <w:tmpl w:val="D240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6"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0"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7"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3"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9"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3"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1"/>
  </w:num>
  <w:num w:numId="15">
    <w:abstractNumId w:val="32"/>
  </w:num>
  <w:num w:numId="16">
    <w:abstractNumId w:val="103"/>
  </w:num>
  <w:num w:numId="17">
    <w:abstractNumId w:val="28"/>
  </w:num>
  <w:num w:numId="18">
    <w:abstractNumId w:val="67"/>
  </w:num>
  <w:num w:numId="19">
    <w:abstractNumId w:val="72"/>
  </w:num>
  <w:num w:numId="20">
    <w:abstractNumId w:val="96"/>
  </w:num>
  <w:num w:numId="21">
    <w:abstractNumId w:val="71"/>
  </w:num>
  <w:num w:numId="22">
    <w:abstractNumId w:val="39"/>
  </w:num>
  <w:num w:numId="23">
    <w:abstractNumId w:val="119"/>
  </w:num>
  <w:num w:numId="24">
    <w:abstractNumId w:val="108"/>
  </w:num>
  <w:num w:numId="25">
    <w:abstractNumId w:val="68"/>
  </w:num>
  <w:num w:numId="26">
    <w:abstractNumId w:val="85"/>
  </w:num>
  <w:num w:numId="27">
    <w:abstractNumId w:val="76"/>
  </w:num>
  <w:num w:numId="28">
    <w:abstractNumId w:val="59"/>
  </w:num>
  <w:num w:numId="29">
    <w:abstractNumId w:val="73"/>
  </w:num>
  <w:num w:numId="30">
    <w:abstractNumId w:val="46"/>
  </w:num>
  <w:num w:numId="31">
    <w:abstractNumId w:val="49"/>
  </w:num>
  <w:num w:numId="32">
    <w:abstractNumId w:val="51"/>
  </w:num>
  <w:num w:numId="33">
    <w:abstractNumId w:val="120"/>
  </w:num>
  <w:num w:numId="34">
    <w:abstractNumId w:val="55"/>
  </w:num>
  <w:num w:numId="35">
    <w:abstractNumId w:val="50"/>
  </w:num>
  <w:num w:numId="36">
    <w:abstractNumId w:val="118"/>
  </w:num>
  <w:num w:numId="37">
    <w:abstractNumId w:val="102"/>
  </w:num>
  <w:num w:numId="38">
    <w:abstractNumId w:val="111"/>
  </w:num>
  <w:num w:numId="39">
    <w:abstractNumId w:val="61"/>
  </w:num>
  <w:num w:numId="40">
    <w:abstractNumId w:val="117"/>
  </w:num>
  <w:num w:numId="41">
    <w:abstractNumId w:val="31"/>
  </w:num>
  <w:num w:numId="42">
    <w:abstractNumId w:val="112"/>
  </w:num>
  <w:num w:numId="43">
    <w:abstractNumId w:val="64"/>
  </w:num>
  <w:num w:numId="44">
    <w:abstractNumId w:val="89"/>
  </w:num>
  <w:num w:numId="45">
    <w:abstractNumId w:val="24"/>
  </w:num>
  <w:num w:numId="46">
    <w:abstractNumId w:val="21"/>
  </w:num>
  <w:num w:numId="47">
    <w:abstractNumId w:val="22"/>
  </w:num>
  <w:num w:numId="48">
    <w:abstractNumId w:val="25"/>
  </w:num>
  <w:num w:numId="49">
    <w:abstractNumId w:val="27"/>
  </w:num>
  <w:num w:numId="50">
    <w:abstractNumId w:val="78"/>
  </w:num>
  <w:num w:numId="51">
    <w:abstractNumId w:val="20"/>
  </w:num>
  <w:num w:numId="52">
    <w:abstractNumId w:val="60"/>
  </w:num>
  <w:num w:numId="53">
    <w:abstractNumId w:val="106"/>
  </w:num>
  <w:num w:numId="54">
    <w:abstractNumId w:val="107"/>
  </w:num>
  <w:num w:numId="55">
    <w:abstractNumId w:val="101"/>
  </w:num>
  <w:num w:numId="56">
    <w:abstractNumId w:val="44"/>
  </w:num>
  <w:num w:numId="57">
    <w:abstractNumId w:val="65"/>
  </w:num>
  <w:num w:numId="58">
    <w:abstractNumId w:val="80"/>
  </w:num>
  <w:num w:numId="59">
    <w:abstractNumId w:val="34"/>
  </w:num>
  <w:num w:numId="60">
    <w:abstractNumId w:val="77"/>
  </w:num>
  <w:num w:numId="61">
    <w:abstractNumId w:val="30"/>
  </w:num>
  <w:num w:numId="62">
    <w:abstractNumId w:val="63"/>
  </w:num>
  <w:num w:numId="63">
    <w:abstractNumId w:val="98"/>
  </w:num>
  <w:num w:numId="64">
    <w:abstractNumId w:val="99"/>
  </w:num>
  <w:num w:numId="65">
    <w:abstractNumId w:val="88"/>
  </w:num>
  <w:num w:numId="66">
    <w:abstractNumId w:val="38"/>
  </w:num>
  <w:num w:numId="67">
    <w:abstractNumId w:val="45"/>
  </w:num>
  <w:num w:numId="68">
    <w:abstractNumId w:val="56"/>
  </w:num>
  <w:num w:numId="69">
    <w:abstractNumId w:val="69"/>
  </w:num>
  <w:num w:numId="70">
    <w:abstractNumId w:val="84"/>
  </w:num>
  <w:num w:numId="71">
    <w:abstractNumId w:val="37"/>
  </w:num>
  <w:num w:numId="72">
    <w:abstractNumId w:val="62"/>
  </w:num>
  <w:num w:numId="73">
    <w:abstractNumId w:val="81"/>
  </w:num>
  <w:num w:numId="74">
    <w:abstractNumId w:val="97"/>
  </w:num>
  <w:num w:numId="75">
    <w:abstractNumId w:val="19"/>
  </w:num>
  <w:num w:numId="76">
    <w:abstractNumId w:val="109"/>
  </w:num>
  <w:num w:numId="77">
    <w:abstractNumId w:val="35"/>
  </w:num>
  <w:num w:numId="78">
    <w:abstractNumId w:val="105"/>
  </w:num>
  <w:num w:numId="79">
    <w:abstractNumId w:val="57"/>
  </w:num>
  <w:num w:numId="80">
    <w:abstractNumId w:val="110"/>
  </w:num>
  <w:num w:numId="81">
    <w:abstractNumId w:val="66"/>
  </w:num>
  <w:num w:numId="82">
    <w:abstractNumId w:val="75"/>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6"/>
  </w:num>
  <w:num w:numId="90">
    <w:abstractNumId w:val="92"/>
  </w:num>
  <w:num w:numId="91">
    <w:abstractNumId w:val="43"/>
  </w:num>
  <w:num w:numId="92">
    <w:abstractNumId w:val="100"/>
  </w:num>
  <w:num w:numId="93">
    <w:abstractNumId w:val="83"/>
  </w:num>
  <w:num w:numId="94">
    <w:abstractNumId w:val="90"/>
  </w:num>
  <w:num w:numId="95">
    <w:abstractNumId w:val="91"/>
  </w:num>
  <w:num w:numId="96">
    <w:abstractNumId w:val="104"/>
  </w:num>
  <w:num w:numId="97">
    <w:abstractNumId w:val="93"/>
  </w:num>
  <w:num w:numId="98">
    <w:abstractNumId w:val="95"/>
  </w:num>
  <w:num w:numId="99">
    <w:abstractNumId w:val="116"/>
  </w:num>
  <w:num w:numId="100">
    <w:abstractNumId w:val="33"/>
  </w:num>
  <w:num w:numId="101">
    <w:abstractNumId w:val="58"/>
  </w:num>
  <w:num w:numId="102">
    <w:abstractNumId w:val="79"/>
  </w:num>
  <w:num w:numId="103">
    <w:abstractNumId w:val="52"/>
  </w:num>
  <w:num w:numId="104">
    <w:abstractNumId w:val="87"/>
  </w:num>
  <w:num w:numId="105">
    <w:abstractNumId w:val="41"/>
  </w:num>
  <w:num w:numId="106">
    <w:abstractNumId w:val="82"/>
  </w:num>
  <w:num w:numId="107">
    <w:abstractNumId w:val="70"/>
  </w:num>
  <w:num w:numId="108">
    <w:abstractNumId w:val="113"/>
  </w:num>
  <w:num w:numId="109">
    <w:abstractNumId w:val="114"/>
  </w:num>
  <w:num w:numId="110">
    <w:abstractNumId w:val="74"/>
  </w:num>
  <w:num w:numId="111">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77F"/>
    <w:rsid w:val="00026015"/>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B7E0E"/>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5B04"/>
    <w:rsid w:val="000F629A"/>
    <w:rsid w:val="000F6707"/>
    <w:rsid w:val="000F6883"/>
    <w:rsid w:val="000F7F5F"/>
    <w:rsid w:val="001001E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CE"/>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3B5A"/>
    <w:rsid w:val="001A402F"/>
    <w:rsid w:val="001A434D"/>
    <w:rsid w:val="001A4451"/>
    <w:rsid w:val="001A4988"/>
    <w:rsid w:val="001A4E6F"/>
    <w:rsid w:val="001A5291"/>
    <w:rsid w:val="001A6866"/>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890"/>
    <w:rsid w:val="001C3D3B"/>
    <w:rsid w:val="001C496C"/>
    <w:rsid w:val="001C4C7E"/>
    <w:rsid w:val="001C514C"/>
    <w:rsid w:val="001C5405"/>
    <w:rsid w:val="001C5815"/>
    <w:rsid w:val="001C59C9"/>
    <w:rsid w:val="001C5EB4"/>
    <w:rsid w:val="001C6318"/>
    <w:rsid w:val="001C64CA"/>
    <w:rsid w:val="001C6ADD"/>
    <w:rsid w:val="001C6BF3"/>
    <w:rsid w:val="001C7418"/>
    <w:rsid w:val="001C7F20"/>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AD5"/>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0780"/>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3540"/>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1DF2"/>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0DEF"/>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18F"/>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0F60"/>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0CC9"/>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6FB"/>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4C8"/>
    <w:rsid w:val="005162D4"/>
    <w:rsid w:val="00516DA5"/>
    <w:rsid w:val="00517302"/>
    <w:rsid w:val="00517A0A"/>
    <w:rsid w:val="00517DD2"/>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11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3A01"/>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6661B"/>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777DD"/>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EC0"/>
    <w:rsid w:val="0075387C"/>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57"/>
    <w:rsid w:val="007C1DCA"/>
    <w:rsid w:val="007C2110"/>
    <w:rsid w:val="007C25CC"/>
    <w:rsid w:val="007C2753"/>
    <w:rsid w:val="007C2932"/>
    <w:rsid w:val="007C2C48"/>
    <w:rsid w:val="007C2E6C"/>
    <w:rsid w:val="007C36CF"/>
    <w:rsid w:val="007C46DC"/>
    <w:rsid w:val="007C4934"/>
    <w:rsid w:val="007C4A5D"/>
    <w:rsid w:val="007C4B34"/>
    <w:rsid w:val="007C4BC8"/>
    <w:rsid w:val="007C4F5D"/>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298"/>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4E95"/>
    <w:rsid w:val="008554CB"/>
    <w:rsid w:val="00856386"/>
    <w:rsid w:val="00856435"/>
    <w:rsid w:val="00856480"/>
    <w:rsid w:val="0085712B"/>
    <w:rsid w:val="00857181"/>
    <w:rsid w:val="0086073D"/>
    <w:rsid w:val="00861F06"/>
    <w:rsid w:val="00862103"/>
    <w:rsid w:val="00862955"/>
    <w:rsid w:val="00862AC0"/>
    <w:rsid w:val="00862F0B"/>
    <w:rsid w:val="00863185"/>
    <w:rsid w:val="00863FE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66F"/>
    <w:rsid w:val="009137E9"/>
    <w:rsid w:val="00913D44"/>
    <w:rsid w:val="0091401D"/>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2F2"/>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E13"/>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9F9"/>
    <w:rsid w:val="009F2D4B"/>
    <w:rsid w:val="009F2F42"/>
    <w:rsid w:val="009F2F44"/>
    <w:rsid w:val="009F33A3"/>
    <w:rsid w:val="009F378E"/>
    <w:rsid w:val="009F3B53"/>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073"/>
    <w:rsid w:val="00A518B1"/>
    <w:rsid w:val="00A51B39"/>
    <w:rsid w:val="00A51EC8"/>
    <w:rsid w:val="00A52515"/>
    <w:rsid w:val="00A52587"/>
    <w:rsid w:val="00A52948"/>
    <w:rsid w:val="00A52F96"/>
    <w:rsid w:val="00A53074"/>
    <w:rsid w:val="00A53142"/>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151"/>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360"/>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6B88"/>
    <w:rsid w:val="00AB7BF8"/>
    <w:rsid w:val="00AC1453"/>
    <w:rsid w:val="00AC1E0C"/>
    <w:rsid w:val="00AC257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8E4"/>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657"/>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75A"/>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326"/>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48F0"/>
    <w:rsid w:val="00C24956"/>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6AE4"/>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6E55"/>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4AD2"/>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3523"/>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3C5F"/>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2564-23EF-4679-911C-F510B52E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3105</Words>
  <Characters>18636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21698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6</cp:revision>
  <cp:lastPrinted>2020-06-15T09:05:00Z</cp:lastPrinted>
  <dcterms:created xsi:type="dcterms:W3CDTF">2020-07-20T09:19:00Z</dcterms:created>
  <dcterms:modified xsi:type="dcterms:W3CDTF">2020-07-23T07:15:00Z</dcterms:modified>
</cp:coreProperties>
</file>