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7D0" w:rsidRDefault="005C57D0" w:rsidP="00CE4A11">
      <w:pPr>
        <w:tabs>
          <w:tab w:val="left" w:leader="dot" w:pos="2700"/>
        </w:tabs>
        <w:jc w:val="right"/>
        <w:rPr>
          <w:rFonts w:ascii="Tahoma" w:hAnsi="Tahoma" w:cs="Tahoma"/>
          <w:sz w:val="22"/>
          <w:szCs w:val="22"/>
        </w:rPr>
      </w:pPr>
    </w:p>
    <w:p w:rsidR="00DA4FC4" w:rsidRPr="006F2FA3" w:rsidRDefault="00DA4FC4" w:rsidP="00DA4FC4">
      <w:pPr>
        <w:tabs>
          <w:tab w:val="left" w:pos="-142"/>
        </w:tabs>
        <w:ind w:left="-142" w:right="-652"/>
        <w:rPr>
          <w:rFonts w:ascii="Verdana" w:hAnsi="Verdana"/>
          <w:b/>
          <w:bCs/>
          <w:i/>
          <w:sz w:val="18"/>
        </w:rPr>
      </w:pPr>
      <w:r w:rsidRPr="006F2FA3">
        <w:rPr>
          <w:rFonts w:ascii="Verdana" w:hAnsi="Verdana"/>
          <w:b/>
          <w:bCs/>
          <w:i/>
          <w:sz w:val="18"/>
        </w:rPr>
        <w:t xml:space="preserve">Przetarg nr </w:t>
      </w:r>
      <w:r w:rsidR="0015720F">
        <w:rPr>
          <w:rFonts w:ascii="Verdana" w:hAnsi="Verdana"/>
          <w:b/>
          <w:i/>
          <w:sz w:val="18"/>
          <w:szCs w:val="18"/>
        </w:rPr>
        <w:t>UMW/IZ/PN-87/19</w:t>
      </w:r>
      <w:r w:rsidR="0015720F" w:rsidRPr="00D77535">
        <w:rPr>
          <w:rFonts w:ascii="Verdana" w:hAnsi="Verdana"/>
          <w:i/>
          <w:sz w:val="18"/>
        </w:rPr>
        <w:t xml:space="preserve"> </w:t>
      </w:r>
      <w:bookmarkStart w:id="0" w:name="_GoBack"/>
      <w:bookmarkEnd w:id="0"/>
      <w:r w:rsidRPr="006F2FA3">
        <w:rPr>
          <w:rFonts w:ascii="Verdana" w:hAnsi="Verdana"/>
          <w:i/>
          <w:sz w:val="18"/>
        </w:rPr>
        <w:t xml:space="preserve"> </w:t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  <w:r w:rsidRPr="006F2FA3">
        <w:rPr>
          <w:rFonts w:ascii="Verdana" w:hAnsi="Verdana"/>
          <w:b/>
          <w:bCs/>
          <w:i/>
          <w:sz w:val="18"/>
        </w:rPr>
        <w:tab/>
      </w:r>
    </w:p>
    <w:p w:rsidR="00DA4FC4" w:rsidRPr="006F2FA3" w:rsidRDefault="00DA4FC4" w:rsidP="00DA4FC4">
      <w:pPr>
        <w:tabs>
          <w:tab w:val="left" w:pos="-142"/>
        </w:tabs>
        <w:ind w:left="-142" w:right="-2"/>
        <w:jc w:val="right"/>
        <w:rPr>
          <w:rFonts w:ascii="Verdana" w:hAnsi="Verdana"/>
          <w:b/>
          <w:bCs/>
          <w:i/>
          <w:sz w:val="18"/>
        </w:rPr>
      </w:pPr>
      <w:r w:rsidRPr="006F2FA3">
        <w:rPr>
          <w:rFonts w:ascii="Verdana" w:hAnsi="Verdana"/>
          <w:b/>
          <w:bCs/>
          <w:i/>
          <w:sz w:val="18"/>
        </w:rPr>
        <w:t xml:space="preserve">Załącznik nr </w:t>
      </w:r>
      <w:r w:rsidR="00566BFA" w:rsidRPr="006F2FA3">
        <w:rPr>
          <w:rFonts w:ascii="Verdana" w:hAnsi="Verdana"/>
          <w:b/>
          <w:bCs/>
          <w:i/>
          <w:sz w:val="18"/>
        </w:rPr>
        <w:t>10</w:t>
      </w:r>
      <w:r w:rsidRPr="006F2FA3">
        <w:rPr>
          <w:rFonts w:ascii="Verdana" w:hAnsi="Verdana"/>
          <w:b/>
          <w:bCs/>
          <w:i/>
          <w:sz w:val="18"/>
        </w:rPr>
        <w:t xml:space="preserve"> do SIWZ</w:t>
      </w:r>
    </w:p>
    <w:p w:rsidR="003F6C2E" w:rsidRDefault="003F6C2E" w:rsidP="003F6C2E">
      <w:pPr>
        <w:rPr>
          <w:rFonts w:ascii="Tahoma" w:hAnsi="Tahoma" w:cs="Tahoma"/>
          <w:b/>
          <w:sz w:val="20"/>
          <w:szCs w:val="20"/>
        </w:rPr>
      </w:pPr>
    </w:p>
    <w:p w:rsidR="00D22241" w:rsidRPr="00CA47FA" w:rsidRDefault="003F6C2E" w:rsidP="003F6C2E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CHARAKTERYSTYKA </w:t>
      </w:r>
      <w:r w:rsidR="00355218">
        <w:rPr>
          <w:rFonts w:ascii="Tahoma" w:hAnsi="Tahoma" w:cs="Tahoma"/>
          <w:b/>
          <w:sz w:val="20"/>
          <w:szCs w:val="20"/>
        </w:rPr>
        <w:t xml:space="preserve">OBIEKTU </w:t>
      </w:r>
      <w:r w:rsidR="003D1801">
        <w:rPr>
          <w:rFonts w:ascii="Tahoma" w:hAnsi="Tahoma" w:cs="Tahoma"/>
          <w:b/>
          <w:sz w:val="20"/>
          <w:szCs w:val="20"/>
        </w:rPr>
        <w:t>UNIWERSYTETU MEDYCZNEGO</w:t>
      </w:r>
      <w:r w:rsidR="00355218">
        <w:rPr>
          <w:rFonts w:ascii="Tahoma" w:hAnsi="Tahoma" w:cs="Tahoma"/>
          <w:b/>
          <w:sz w:val="20"/>
          <w:szCs w:val="20"/>
        </w:rPr>
        <w:t xml:space="preserve"> WE WROCŁAWIU - ZINTEGROWANEGO CENTRUM EDUKACJI I INNOWACJI WYDZIAŁU FARMACEUTYCZNEGO.</w:t>
      </w:r>
    </w:p>
    <w:p w:rsidR="00D22241" w:rsidRPr="005D715F" w:rsidRDefault="00D22241" w:rsidP="00063D77">
      <w:pPr>
        <w:rPr>
          <w:rFonts w:ascii="Tahoma" w:hAnsi="Tahoma" w:cs="Tahoma"/>
          <w:sz w:val="20"/>
          <w:szCs w:val="20"/>
        </w:rPr>
      </w:pPr>
    </w:p>
    <w:p w:rsidR="00D22241" w:rsidRPr="005D715F" w:rsidRDefault="00A10C4E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="t">
            <v:imagedata r:id="rId8" o:title=""/>
          </v:shape>
        </w:pict>
      </w:r>
    </w:p>
    <w:p w:rsidR="00D22241" w:rsidRPr="00DB6872" w:rsidRDefault="00D22241" w:rsidP="00063D77">
      <w:pPr>
        <w:numPr>
          <w:ilvl w:val="0"/>
          <w:numId w:val="2"/>
        </w:numPr>
        <w:rPr>
          <w:rFonts w:ascii="Tahoma" w:hAnsi="Tahoma" w:cs="Tahoma"/>
          <w:b/>
          <w:sz w:val="20"/>
          <w:szCs w:val="20"/>
        </w:rPr>
      </w:pPr>
      <w:r w:rsidRPr="00DB6872">
        <w:rPr>
          <w:rFonts w:ascii="Tahoma" w:hAnsi="Tahoma" w:cs="Tahoma"/>
          <w:b/>
          <w:sz w:val="20"/>
          <w:szCs w:val="20"/>
        </w:rPr>
        <w:t>Opis nieruchomości gruntowej położonej we Wrocławiu przy ulicy Borowskiej</w:t>
      </w:r>
      <w:r w:rsidR="003F6C2E">
        <w:rPr>
          <w:rFonts w:ascii="Tahoma" w:hAnsi="Tahoma" w:cs="Tahoma"/>
          <w:b/>
          <w:sz w:val="20"/>
          <w:szCs w:val="20"/>
        </w:rPr>
        <w:t xml:space="preserve"> </w:t>
      </w:r>
      <w:r w:rsidR="00A94124">
        <w:rPr>
          <w:rFonts w:ascii="Tahoma" w:hAnsi="Tahoma" w:cs="Tahoma"/>
          <w:b/>
          <w:sz w:val="20"/>
          <w:szCs w:val="20"/>
        </w:rPr>
        <w:t>211a</w:t>
      </w:r>
      <w:r>
        <w:rPr>
          <w:rFonts w:ascii="Tahoma" w:hAnsi="Tahoma" w:cs="Tahoma"/>
          <w:b/>
          <w:sz w:val="20"/>
          <w:szCs w:val="20"/>
        </w:rPr>
        <w:t>,</w:t>
      </w:r>
      <w:r w:rsidR="003F6C2E">
        <w:rPr>
          <w:rFonts w:ascii="Tahoma" w:hAnsi="Tahoma" w:cs="Tahoma"/>
          <w:b/>
          <w:sz w:val="20"/>
          <w:szCs w:val="20"/>
        </w:rPr>
        <w:t xml:space="preserve"> we</w:t>
      </w:r>
      <w:r>
        <w:rPr>
          <w:rFonts w:ascii="Tahoma" w:hAnsi="Tahoma" w:cs="Tahoma"/>
          <w:b/>
          <w:sz w:val="20"/>
          <w:szCs w:val="20"/>
        </w:rPr>
        <w:t xml:space="preserve"> Wrocław</w:t>
      </w:r>
      <w:r w:rsidR="003F6C2E">
        <w:rPr>
          <w:rFonts w:ascii="Tahoma" w:hAnsi="Tahoma" w:cs="Tahoma"/>
          <w:b/>
          <w:sz w:val="20"/>
          <w:szCs w:val="20"/>
        </w:rPr>
        <w:t>iu</w:t>
      </w:r>
      <w:r w:rsidR="006D732E">
        <w:rPr>
          <w:rFonts w:ascii="Tahoma" w:hAnsi="Tahoma" w:cs="Tahoma"/>
          <w:b/>
          <w:sz w:val="20"/>
          <w:szCs w:val="20"/>
        </w:rPr>
        <w:t xml:space="preserve"> oraz jej przeznaczenie</w:t>
      </w:r>
    </w:p>
    <w:p w:rsidR="00D22241" w:rsidRDefault="00D22241" w:rsidP="00063D77">
      <w:pPr>
        <w:rPr>
          <w:rFonts w:ascii="Tahoma" w:hAnsi="Tahoma" w:cs="Tahoma"/>
          <w:sz w:val="20"/>
          <w:szCs w:val="20"/>
        </w:rPr>
      </w:pPr>
      <w:r w:rsidRPr="006D732E">
        <w:rPr>
          <w:rFonts w:ascii="Tahoma" w:hAnsi="Tahoma" w:cs="Tahoma"/>
          <w:sz w:val="20"/>
          <w:szCs w:val="20"/>
        </w:rPr>
        <w:t>Obiekt zlokalizowany jest na terenie działek w obrębie ewidencyjnym 13 Gaj, AM-7 działka nr</w:t>
      </w:r>
      <w:r w:rsidR="006D732E" w:rsidRPr="006D732E">
        <w:rPr>
          <w:rFonts w:ascii="Tahoma" w:hAnsi="Tahoma" w:cs="Tahoma"/>
          <w:sz w:val="20"/>
          <w:szCs w:val="20"/>
        </w:rPr>
        <w:t xml:space="preserve"> 9, 10, 11/3 oraz  AM-9 działki nr 1/3, 3/3 </w:t>
      </w:r>
      <w:r w:rsidRPr="006D732E">
        <w:rPr>
          <w:rFonts w:ascii="Tahoma" w:hAnsi="Tahoma" w:cs="Tahoma"/>
          <w:sz w:val="20"/>
          <w:szCs w:val="20"/>
        </w:rPr>
        <w:t>w jednostce ewidencyjnej Wrocław.</w:t>
      </w:r>
      <w:r w:rsidR="006D732E">
        <w:rPr>
          <w:rFonts w:ascii="Tahoma" w:hAnsi="Tahoma" w:cs="Tahoma"/>
          <w:sz w:val="20"/>
          <w:szCs w:val="20"/>
        </w:rPr>
        <w:t xml:space="preserve"> Teren nie jest wpisany w rejestr zabytków.</w:t>
      </w:r>
    </w:p>
    <w:p w:rsidR="00355218" w:rsidRDefault="00355218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Przedmiotem ubezpieczenia jest obiekt o przeznaczeniu badawczo- naukowo- dydaktycznym wraz z infrastrukturą techniczną oraz miejscami parkingowymi dla studentów i pracowników. W skład obiektu o nazwie Zintegrowane Centrum Edukacji i Innowacji Wydziału Farmaceutycznego Akademii Medycznej we Wrocławiu wchodzą następujące budynki:</w:t>
      </w:r>
    </w:p>
    <w:p w:rsidR="00355218" w:rsidRDefault="00355218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badawczo- naukowo- dydaktyczny A o 6 kondygnacjach nadziemnych (połączony funkcjonalnie i bryłowo z budynkami B i C),</w:t>
      </w:r>
    </w:p>
    <w:p w:rsidR="00355218" w:rsidRDefault="00355218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badawczo- naukowo- dydaktyczny B o 6 kondygnacjach nadziemnych,</w:t>
      </w:r>
    </w:p>
    <w:p w:rsidR="00355218" w:rsidRDefault="00355218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badawczo- naukowo- dydaktyczny C o 3 kondygnacjach nadziemnych,</w:t>
      </w:r>
    </w:p>
    <w:p w:rsidR="006D732E" w:rsidRDefault="006D732E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zaplecza technicznego – centralny magazyn odczynników chemicznych D o 1 kondygnacji nadziemnej,</w:t>
      </w:r>
    </w:p>
    <w:p w:rsidR="006D732E" w:rsidRDefault="006D732E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zaplecza technicznego – trafostacja,</w:t>
      </w:r>
    </w:p>
    <w:p w:rsidR="006D732E" w:rsidRDefault="006D732E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zaplec</w:t>
      </w:r>
      <w:r w:rsidR="005412F6">
        <w:rPr>
          <w:rFonts w:ascii="Tahoma" w:hAnsi="Tahoma" w:cs="Tahoma"/>
          <w:sz w:val="20"/>
          <w:szCs w:val="20"/>
        </w:rPr>
        <w:t>za technicznego – wiata na gazy,</w:t>
      </w:r>
    </w:p>
    <w:p w:rsidR="005412F6" w:rsidRDefault="005412F6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stacja transformatorowa kontenerowa dla budynku A,</w:t>
      </w:r>
    </w:p>
    <w:p w:rsidR="005412F6" w:rsidRDefault="005412F6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stacja transformatorowa kontenerowa dla budynku B.</w:t>
      </w:r>
    </w:p>
    <w:p w:rsidR="006D732E" w:rsidRDefault="006D732E" w:rsidP="00355218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Budynki A, B, C mają charakter zabudowy jednokubaturowej o wysokości zabudowy nieprzekraczającej 25 m wysokości.</w:t>
      </w:r>
    </w:p>
    <w:p w:rsidR="00D22241" w:rsidRDefault="006D732E" w:rsidP="006D732E">
      <w:pPr>
        <w:tabs>
          <w:tab w:val="left" w:pos="651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D22241" w:rsidRDefault="00A10C4E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shape id="_x0000_i1026" type="#_x0000_t75" style="width:450pt;height:7.5pt" o:hrpct="0" o:hr="t">
            <v:imagedata r:id="rId8" o:title=""/>
          </v:shape>
        </w:pict>
      </w:r>
    </w:p>
    <w:p w:rsidR="00D22241" w:rsidRDefault="006D732E" w:rsidP="00063D77">
      <w:pPr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C</w:t>
      </w:r>
      <w:r w:rsidR="00D22241">
        <w:rPr>
          <w:rFonts w:ascii="Tahoma" w:hAnsi="Tahoma" w:cs="Tahoma"/>
          <w:b/>
          <w:bCs/>
          <w:sz w:val="20"/>
          <w:szCs w:val="20"/>
        </w:rPr>
        <w:t>harakterystyka obiektu</w:t>
      </w:r>
    </w:p>
    <w:p w:rsidR="00D22241" w:rsidRDefault="00D22241" w:rsidP="00063D77">
      <w:pPr>
        <w:rPr>
          <w:rFonts w:ascii="Tahoma" w:hAnsi="Tahoma" w:cs="Tahoma"/>
          <w:sz w:val="20"/>
          <w:szCs w:val="20"/>
        </w:rPr>
      </w:pPr>
    </w:p>
    <w:p w:rsidR="00047BC0" w:rsidRDefault="00D22241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Powierzchnia</w:t>
      </w:r>
      <w:r w:rsidR="00047BC0">
        <w:rPr>
          <w:rFonts w:ascii="Tahoma" w:hAnsi="Tahoma" w:cs="Tahoma"/>
          <w:sz w:val="20"/>
          <w:szCs w:val="20"/>
        </w:rPr>
        <w:t xml:space="preserve"> użytkowa poszczególnych obiektów to: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A – 6 530,77 m</w:t>
      </w:r>
      <w:r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 xml:space="preserve">, 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B – 3 232,21 m</w:t>
      </w:r>
      <w:r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 xml:space="preserve">, 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C – 2 625,32 m</w:t>
      </w:r>
      <w:r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 xml:space="preserve">, 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budynek D – 200,6 m</w:t>
      </w:r>
      <w:r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 xml:space="preserve">, 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wiata na gazy – 21,99 m</w:t>
      </w:r>
      <w:r>
        <w:rPr>
          <w:rFonts w:ascii="Tahoma" w:hAnsi="Tahoma" w:cs="Tahoma"/>
          <w:sz w:val="20"/>
          <w:szCs w:val="20"/>
          <w:vertAlign w:val="superscript"/>
        </w:rPr>
        <w:t>2</w:t>
      </w:r>
      <w:r>
        <w:rPr>
          <w:rFonts w:ascii="Tahoma" w:hAnsi="Tahoma" w:cs="Tahoma"/>
          <w:sz w:val="20"/>
          <w:szCs w:val="20"/>
        </w:rPr>
        <w:t xml:space="preserve">, (powierzchnia usługowa). </w:t>
      </w:r>
    </w:p>
    <w:p w:rsidR="00047BC0" w:rsidRDefault="00047BC0" w:rsidP="00063D77">
      <w:pPr>
        <w:rPr>
          <w:rFonts w:ascii="Tahoma" w:hAnsi="Tahoma" w:cs="Tahoma"/>
          <w:sz w:val="20"/>
          <w:szCs w:val="20"/>
        </w:rPr>
      </w:pPr>
    </w:p>
    <w:p w:rsidR="00D22241" w:rsidRDefault="00D22241" w:rsidP="000F7737">
      <w:pPr>
        <w:ind w:firstLine="708"/>
        <w:rPr>
          <w:rFonts w:ascii="Tahoma" w:hAnsi="Tahoma" w:cs="Tahoma"/>
          <w:b/>
          <w:sz w:val="20"/>
          <w:szCs w:val="20"/>
        </w:rPr>
      </w:pPr>
      <w:r w:rsidRPr="00EF7D24">
        <w:rPr>
          <w:rFonts w:ascii="Tahoma" w:hAnsi="Tahoma" w:cs="Tahoma"/>
          <w:b/>
          <w:sz w:val="20"/>
          <w:szCs w:val="20"/>
        </w:rPr>
        <w:t>Konstrukcja:</w:t>
      </w:r>
    </w:p>
    <w:p w:rsidR="00047BC0" w:rsidRPr="00C91CB7" w:rsidRDefault="00047BC0" w:rsidP="00047BC0">
      <w:pPr>
        <w:rPr>
          <w:rFonts w:ascii="Tahoma" w:hAnsi="Tahoma" w:cs="Tahoma"/>
          <w:sz w:val="20"/>
          <w:szCs w:val="20"/>
        </w:rPr>
      </w:pPr>
      <w:r w:rsidRPr="00C91CB7">
        <w:rPr>
          <w:rFonts w:ascii="Tahoma" w:hAnsi="Tahoma" w:cs="Tahoma"/>
          <w:sz w:val="20"/>
          <w:szCs w:val="20"/>
        </w:rPr>
        <w:t xml:space="preserve">Obiekt składa się z czterech głównych, oddylatowanych części: pięciopiętrowej części A oraz B, dwupiętrowej części C oraz oddzielnej parterowej części D; parterowa jest także wolnostojąca wiata na gazy. Budynki A i B oraz C oddzielone są dylatacjami; najdłuższy budynek A został dodatkowo </w:t>
      </w:r>
      <w:r w:rsidR="00BE3672" w:rsidRPr="00C91CB7">
        <w:rPr>
          <w:rFonts w:ascii="Tahoma" w:hAnsi="Tahoma" w:cs="Tahoma"/>
          <w:sz w:val="20"/>
          <w:szCs w:val="20"/>
        </w:rPr>
        <w:t>zdylatowany bez dublowania słupów z zastosowaniem trzpieni dylatacyjnych.</w:t>
      </w:r>
    </w:p>
    <w:p w:rsidR="00464199" w:rsidRDefault="00C91CB7" w:rsidP="00464199">
      <w:pPr>
        <w:rPr>
          <w:rFonts w:ascii="Tahoma" w:hAnsi="Tahoma" w:cs="Tahoma"/>
          <w:sz w:val="20"/>
          <w:szCs w:val="20"/>
        </w:rPr>
      </w:pPr>
      <w:r w:rsidRPr="00C91CB7">
        <w:rPr>
          <w:rFonts w:ascii="Tahoma" w:hAnsi="Tahoma" w:cs="Tahoma"/>
          <w:sz w:val="20"/>
          <w:szCs w:val="20"/>
        </w:rPr>
        <w:t xml:space="preserve">Budynki A, B oraz C zaprojektowano w technologii szkieletowej żelbetowej monolitycznej, z monolitycznymi </w:t>
      </w:r>
      <w:r>
        <w:rPr>
          <w:rFonts w:ascii="Tahoma" w:hAnsi="Tahoma" w:cs="Tahoma"/>
          <w:sz w:val="20"/>
          <w:szCs w:val="20"/>
        </w:rPr>
        <w:t xml:space="preserve">stropami </w:t>
      </w:r>
      <w:r w:rsidRPr="00C91CB7">
        <w:rPr>
          <w:rFonts w:ascii="Tahoma" w:hAnsi="Tahoma" w:cs="Tahoma"/>
          <w:sz w:val="20"/>
          <w:szCs w:val="20"/>
        </w:rPr>
        <w:t xml:space="preserve">grzybkowymi oraz murowanymi z gazobetonu ścianami osłonowymi. </w:t>
      </w:r>
      <w:r>
        <w:rPr>
          <w:rFonts w:ascii="Tahoma" w:hAnsi="Tahoma" w:cs="Tahoma"/>
          <w:sz w:val="20"/>
          <w:szCs w:val="20"/>
        </w:rPr>
        <w:t>Sztywność</w:t>
      </w:r>
      <w:r w:rsidRPr="00C91CB7">
        <w:rPr>
          <w:rFonts w:ascii="Tahoma" w:hAnsi="Tahoma" w:cs="Tahoma"/>
          <w:sz w:val="20"/>
          <w:szCs w:val="20"/>
        </w:rPr>
        <w:t xml:space="preserve"> przestrzenną budynku zapewnią monolityczne ramy żelbetowe oraz sztywne trzony komunikacyjne z monolitycznymi ścianami konstrukcyjnymi. Budynek D zaprojektowano w technologii tradycyjnej z monolitycznym płaskim stropem; podobnie jak wiatę na gazy, jednak jej da</w:t>
      </w:r>
      <w:r w:rsidR="00464199">
        <w:rPr>
          <w:rFonts w:ascii="Tahoma" w:hAnsi="Tahoma" w:cs="Tahoma"/>
          <w:sz w:val="20"/>
          <w:szCs w:val="20"/>
        </w:rPr>
        <w:t>ch ma lekka konstrukcję stalową</w:t>
      </w:r>
      <w:r w:rsidR="006F465E">
        <w:rPr>
          <w:rFonts w:ascii="Tahoma" w:hAnsi="Tahoma" w:cs="Tahoma"/>
          <w:sz w:val="20"/>
          <w:szCs w:val="20"/>
        </w:rPr>
        <w:t>.</w:t>
      </w:r>
    </w:p>
    <w:p w:rsidR="00D22241" w:rsidRDefault="00D22241" w:rsidP="00464199">
      <w:pPr>
        <w:pStyle w:val="Akapitzli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D22241" w:rsidRDefault="00D22241" w:rsidP="008B7E4B">
      <w:pPr>
        <w:rPr>
          <w:rFonts w:ascii="Tahoma" w:hAnsi="Tahoma" w:cs="Tahoma"/>
          <w:sz w:val="20"/>
          <w:szCs w:val="20"/>
        </w:rPr>
      </w:pPr>
    </w:p>
    <w:p w:rsidR="003D1801" w:rsidRDefault="003D1801" w:rsidP="008B7E4B">
      <w:pPr>
        <w:rPr>
          <w:rFonts w:ascii="Tahoma" w:hAnsi="Tahoma" w:cs="Tahoma"/>
          <w:sz w:val="20"/>
          <w:szCs w:val="20"/>
        </w:rPr>
      </w:pPr>
    </w:p>
    <w:p w:rsidR="00D22241" w:rsidRDefault="00D22241" w:rsidP="00494E0A">
      <w:pPr>
        <w:keepNext/>
        <w:rPr>
          <w:rFonts w:ascii="Tahoma" w:hAnsi="Tahoma" w:cs="Tahoma"/>
          <w:i/>
          <w:sz w:val="20"/>
          <w:szCs w:val="20"/>
        </w:rPr>
      </w:pPr>
      <w:r w:rsidRPr="008B7E4B">
        <w:rPr>
          <w:rFonts w:ascii="Tahoma" w:hAnsi="Tahoma" w:cs="Tahoma"/>
          <w:i/>
          <w:sz w:val="20"/>
          <w:szCs w:val="20"/>
        </w:rPr>
        <w:lastRenderedPageBreak/>
        <w:t>Mapa ewidencyjna</w:t>
      </w:r>
    </w:p>
    <w:p w:rsidR="00464199" w:rsidRDefault="00464199" w:rsidP="00494E0A">
      <w:pPr>
        <w:keepNext/>
        <w:rPr>
          <w:rFonts w:ascii="Tahoma" w:hAnsi="Tahoma" w:cs="Tahoma"/>
          <w:i/>
          <w:sz w:val="20"/>
          <w:szCs w:val="20"/>
        </w:rPr>
      </w:pPr>
    </w:p>
    <w:p w:rsidR="00464199" w:rsidRDefault="00E2051F" w:rsidP="00494E0A">
      <w:pPr>
        <w:keepNext/>
        <w:rPr>
          <w:rFonts w:ascii="Tahoma" w:hAnsi="Tahoma" w:cs="Tahoma"/>
          <w:i/>
          <w:sz w:val="20"/>
          <w:szCs w:val="20"/>
        </w:rPr>
      </w:pPr>
      <w:r w:rsidRPr="00464199">
        <w:rPr>
          <w:rFonts w:ascii="Tahoma" w:hAnsi="Tahoma" w:cs="Tahoma"/>
          <w:i/>
          <w:noProof/>
          <w:sz w:val="20"/>
          <w:szCs w:val="20"/>
        </w:rPr>
        <w:drawing>
          <wp:inline distT="0" distB="0" distL="0" distR="0">
            <wp:extent cx="6181725" cy="4648200"/>
            <wp:effectExtent l="0" t="0" r="9525" b="0"/>
            <wp:docPr id="4" name="Obraz 4" descr="1C29 mapka zintegrowane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29 mapka zintegrowane centr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1" w:rsidRPr="008B7E4B" w:rsidRDefault="00D22241" w:rsidP="008B7E4B">
      <w:pPr>
        <w:rPr>
          <w:rFonts w:ascii="Tahoma" w:hAnsi="Tahoma" w:cs="Tahoma"/>
          <w:i/>
          <w:sz w:val="20"/>
          <w:szCs w:val="20"/>
        </w:rPr>
      </w:pPr>
    </w:p>
    <w:p w:rsidR="00D22241" w:rsidRPr="004F3D35" w:rsidRDefault="00D22241" w:rsidP="004F3D35">
      <w:pPr>
        <w:rPr>
          <w:rFonts w:ascii="Tahoma" w:hAnsi="Tahoma" w:cs="Tahoma"/>
          <w:i/>
          <w:sz w:val="20"/>
          <w:szCs w:val="20"/>
        </w:rPr>
      </w:pPr>
    </w:p>
    <w:p w:rsidR="00D22241" w:rsidRPr="006404BD" w:rsidRDefault="00A10C4E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shape id="_x0000_i1027" type="#_x0000_t75" style="width:450pt;height:7.5pt" o:hrpct="0" o:hr="t">
            <v:imagedata r:id="rId8" o:title=""/>
          </v:shape>
        </w:pict>
      </w:r>
    </w:p>
    <w:p w:rsidR="00D22241" w:rsidRDefault="00D22241" w:rsidP="00063D77">
      <w:pPr>
        <w:numPr>
          <w:ilvl w:val="0"/>
          <w:numId w:val="10"/>
        </w:numPr>
        <w:rPr>
          <w:rFonts w:ascii="Tahoma" w:hAnsi="Tahoma" w:cs="Tahoma"/>
          <w:b/>
          <w:sz w:val="20"/>
          <w:szCs w:val="20"/>
        </w:rPr>
      </w:pPr>
      <w:r w:rsidRPr="00323B27">
        <w:rPr>
          <w:rFonts w:ascii="Tahoma" w:hAnsi="Tahoma" w:cs="Tahoma"/>
          <w:b/>
          <w:sz w:val="20"/>
          <w:szCs w:val="20"/>
        </w:rPr>
        <w:t>INFORMACJE O RYZYKU</w:t>
      </w:r>
    </w:p>
    <w:p w:rsidR="00D22241" w:rsidRPr="008C57F5" w:rsidRDefault="00D22241" w:rsidP="008C57F5">
      <w:pPr>
        <w:ind w:left="900"/>
        <w:rPr>
          <w:rFonts w:ascii="Tahoma" w:hAnsi="Tahoma" w:cs="Tahoma"/>
          <w:b/>
          <w:sz w:val="20"/>
          <w:szCs w:val="20"/>
        </w:rPr>
      </w:pPr>
    </w:p>
    <w:p w:rsidR="00D22241" w:rsidRDefault="00D22241" w:rsidP="00063D77">
      <w:pPr>
        <w:rPr>
          <w:rFonts w:ascii="Tahoma" w:hAnsi="Tahoma" w:cs="Tahoma"/>
          <w:sz w:val="20"/>
          <w:szCs w:val="20"/>
          <w:u w:val="single"/>
        </w:rPr>
      </w:pPr>
      <w:r w:rsidRPr="003E1135">
        <w:rPr>
          <w:rFonts w:ascii="Tahoma" w:hAnsi="Tahoma" w:cs="Tahoma"/>
          <w:sz w:val="20"/>
          <w:szCs w:val="20"/>
          <w:u w:val="single"/>
        </w:rPr>
        <w:t>Zagrożenia związane z położeniem lokalizacji:</w:t>
      </w:r>
    </w:p>
    <w:p w:rsidR="00D22241" w:rsidRDefault="00D22241" w:rsidP="00063D77">
      <w:pPr>
        <w:rPr>
          <w:rFonts w:ascii="Tahoma" w:hAnsi="Tahoma" w:cs="Tahoma"/>
          <w:sz w:val="20"/>
          <w:szCs w:val="20"/>
          <w:u w:val="single"/>
        </w:rPr>
      </w:pPr>
    </w:p>
    <w:p w:rsidR="00D22241" w:rsidRDefault="00D22241" w:rsidP="00063D7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Nieruchomość gruntowa należąca do </w:t>
      </w:r>
      <w:r w:rsidR="003D1801">
        <w:rPr>
          <w:rFonts w:ascii="Tahoma" w:hAnsi="Tahoma" w:cs="Tahoma"/>
          <w:sz w:val="20"/>
          <w:szCs w:val="20"/>
        </w:rPr>
        <w:t>Uniwersytetu Medycznego</w:t>
      </w:r>
      <w:r>
        <w:rPr>
          <w:rFonts w:ascii="Tahoma" w:hAnsi="Tahoma" w:cs="Tahoma"/>
          <w:sz w:val="20"/>
          <w:szCs w:val="20"/>
        </w:rPr>
        <w:t xml:space="preserve"> we Wrocławiu leżą w centralnej części miasta. Podczas powodzi na przestrzeni ostatnich kilkunastu lat (w 1997 r.) nie zanotowano żadnych zalań czy podstopień okolicznych lokalizacji. Nieruchomość zlokalizowana jest na wys. 126 m n.p.m., na terenie równinnym.</w:t>
      </w:r>
    </w:p>
    <w:p w:rsidR="00D22241" w:rsidRDefault="00D22241" w:rsidP="00063D77">
      <w:pPr>
        <w:rPr>
          <w:rFonts w:ascii="Tahoma" w:hAnsi="Tahoma" w:cs="Tahoma"/>
          <w:sz w:val="20"/>
          <w:szCs w:val="20"/>
        </w:rPr>
      </w:pPr>
    </w:p>
    <w:p w:rsidR="00D22241" w:rsidRDefault="00D22241" w:rsidP="00063D77">
      <w:pPr>
        <w:rPr>
          <w:rFonts w:ascii="Tahoma" w:hAnsi="Tahoma" w:cs="Tahoma"/>
          <w:sz w:val="20"/>
          <w:szCs w:val="20"/>
        </w:rPr>
      </w:pPr>
    </w:p>
    <w:p w:rsidR="00D22241" w:rsidRDefault="00D22241" w:rsidP="00063D77">
      <w:pPr>
        <w:rPr>
          <w:rFonts w:ascii="Tahoma" w:hAnsi="Tahoma" w:cs="Tahoma"/>
          <w:sz w:val="20"/>
          <w:szCs w:val="20"/>
          <w:u w:val="single"/>
        </w:rPr>
      </w:pPr>
      <w:r w:rsidRPr="008D78A9">
        <w:rPr>
          <w:rFonts w:ascii="Tahoma" w:hAnsi="Tahoma" w:cs="Tahoma"/>
          <w:sz w:val="20"/>
          <w:szCs w:val="20"/>
          <w:u w:val="single"/>
        </w:rPr>
        <w:t>Ochrona Przeciwpożarowa:</w:t>
      </w:r>
    </w:p>
    <w:p w:rsidR="00D22241" w:rsidRDefault="00D22241"/>
    <w:p w:rsidR="00D22241" w:rsidRDefault="005412F6" w:rsidP="005412F6">
      <w:pPr>
        <w:pStyle w:val="Akapitzlist"/>
        <w:numPr>
          <w:ilvl w:val="0"/>
          <w:numId w:val="12"/>
        </w:numPr>
        <w:rPr>
          <w:rFonts w:ascii="Tahoma" w:hAnsi="Tahoma" w:cs="Tahoma"/>
          <w:b/>
          <w:sz w:val="20"/>
          <w:szCs w:val="20"/>
        </w:rPr>
      </w:pPr>
      <w:r w:rsidRPr="005412F6">
        <w:rPr>
          <w:rFonts w:ascii="Tahoma" w:hAnsi="Tahoma" w:cs="Tahoma"/>
          <w:b/>
          <w:sz w:val="20"/>
          <w:szCs w:val="20"/>
        </w:rPr>
        <w:t>Odległość od budynków sąsiadujących</w:t>
      </w:r>
      <w:r>
        <w:rPr>
          <w:rFonts w:ascii="Tahoma" w:hAnsi="Tahoma" w:cs="Tahoma"/>
          <w:b/>
          <w:sz w:val="20"/>
          <w:szCs w:val="20"/>
        </w:rPr>
        <w:t>:</w:t>
      </w:r>
    </w:p>
    <w:p w:rsidR="005412F6" w:rsidRPr="00F53DB6" w:rsidRDefault="005412F6" w:rsidP="005412F6">
      <w:pPr>
        <w:pStyle w:val="Akapitzlist"/>
        <w:ind w:left="0"/>
        <w:rPr>
          <w:rFonts w:ascii="Tahoma" w:hAnsi="Tahoma" w:cs="Tahoma"/>
          <w:sz w:val="20"/>
          <w:szCs w:val="20"/>
        </w:rPr>
      </w:pPr>
      <w:r w:rsidRPr="00F53DB6">
        <w:rPr>
          <w:rFonts w:ascii="Tahoma" w:hAnsi="Tahoma" w:cs="Tahoma"/>
          <w:sz w:val="20"/>
          <w:szCs w:val="20"/>
        </w:rPr>
        <w:t>Budynki A i B oraz A i C bezpośrednio do siebie dolegają. Względem obiektów sąsiadujących znajdują się w odległościach &gt; 8m. Budynek D również znajduje się w odległości &gt; 8m od obiektów sąsiadujących.</w:t>
      </w:r>
    </w:p>
    <w:p w:rsidR="00D22241" w:rsidRPr="006F465E" w:rsidRDefault="00D22241" w:rsidP="00D20C6A">
      <w:pPr>
        <w:pStyle w:val="Akapitzlist"/>
        <w:numPr>
          <w:ilvl w:val="0"/>
          <w:numId w:val="12"/>
        </w:numPr>
        <w:rPr>
          <w:rFonts w:ascii="Tahoma" w:hAnsi="Tahoma" w:cs="Tahoma"/>
          <w:b/>
          <w:sz w:val="20"/>
          <w:szCs w:val="20"/>
        </w:rPr>
      </w:pPr>
      <w:r w:rsidRPr="00F53DB6">
        <w:rPr>
          <w:rFonts w:ascii="Tahoma" w:hAnsi="Tahoma" w:cs="Tahoma"/>
          <w:b/>
          <w:sz w:val="20"/>
          <w:szCs w:val="20"/>
        </w:rPr>
        <w:t>Klasa odporności ogniowej Bud</w:t>
      </w:r>
      <w:r w:rsidRPr="006F465E">
        <w:rPr>
          <w:rFonts w:ascii="Tahoma" w:hAnsi="Tahoma" w:cs="Tahoma"/>
          <w:b/>
          <w:sz w:val="20"/>
          <w:szCs w:val="20"/>
        </w:rPr>
        <w:t>ynku:</w:t>
      </w:r>
    </w:p>
    <w:p w:rsidR="00D22241" w:rsidRPr="006F465E" w:rsidRDefault="005E3C1A" w:rsidP="00A0524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 xml:space="preserve">Budynek A , </w:t>
      </w:r>
      <w:r w:rsidR="00D22241" w:rsidRPr="006F465E">
        <w:rPr>
          <w:rFonts w:ascii="Tahoma" w:hAnsi="Tahoma" w:cs="Tahoma"/>
          <w:sz w:val="20"/>
          <w:szCs w:val="20"/>
        </w:rPr>
        <w:t>B</w:t>
      </w:r>
      <w:r w:rsidRPr="006F465E">
        <w:rPr>
          <w:rFonts w:ascii="Tahoma" w:hAnsi="Tahoma" w:cs="Tahoma"/>
          <w:sz w:val="20"/>
          <w:szCs w:val="20"/>
        </w:rPr>
        <w:t xml:space="preserve"> i C</w:t>
      </w:r>
      <w:r w:rsidR="00D22241" w:rsidRPr="006F465E">
        <w:rPr>
          <w:rFonts w:ascii="Tahoma" w:hAnsi="Tahoma" w:cs="Tahoma"/>
          <w:sz w:val="20"/>
          <w:szCs w:val="20"/>
        </w:rPr>
        <w:t xml:space="preserve">  - klasa „B”</w:t>
      </w:r>
    </w:p>
    <w:p w:rsidR="005E3C1A" w:rsidRPr="006F465E" w:rsidRDefault="005E3C1A" w:rsidP="00A0524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D – klasa „C” dla PM i „D” dla części ZL III.</w:t>
      </w:r>
    </w:p>
    <w:p w:rsidR="00D22241" w:rsidRPr="006F465E" w:rsidRDefault="00D22241" w:rsidP="00A05246">
      <w:pPr>
        <w:pStyle w:val="Akapitzlist"/>
        <w:numPr>
          <w:ilvl w:val="0"/>
          <w:numId w:val="12"/>
        </w:numPr>
        <w:rPr>
          <w:rFonts w:ascii="Tahoma" w:hAnsi="Tahoma" w:cs="Tahoma"/>
          <w:b/>
          <w:sz w:val="20"/>
          <w:szCs w:val="20"/>
        </w:rPr>
      </w:pPr>
      <w:r w:rsidRPr="006F465E">
        <w:rPr>
          <w:rFonts w:ascii="Tahoma" w:hAnsi="Tahoma" w:cs="Tahoma"/>
          <w:b/>
          <w:sz w:val="20"/>
          <w:szCs w:val="20"/>
        </w:rPr>
        <w:t>Podział obiektu na strefy pożarowe:</w:t>
      </w:r>
    </w:p>
    <w:p w:rsidR="00AA6D7F" w:rsidRPr="006F465E" w:rsidRDefault="00AA6D7F" w:rsidP="006A079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 xml:space="preserve">Budynek A </w:t>
      </w:r>
    </w:p>
    <w:p w:rsidR="00AA6D7F" w:rsidRPr="006F465E" w:rsidRDefault="00AA6D7F" w:rsidP="00AA6D7F">
      <w:pPr>
        <w:pStyle w:val="Akapitzlist"/>
        <w:ind w:left="108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 xml:space="preserve">strefa pożarowa: </w:t>
      </w:r>
    </w:p>
    <w:p w:rsidR="00D22241" w:rsidRPr="006F465E" w:rsidRDefault="00AA6D7F" w:rsidP="00AA6D7F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- 1/A – klatka schodowa K4</w:t>
      </w:r>
      <w:r w:rsidR="00D22241" w:rsidRPr="006F465E">
        <w:rPr>
          <w:rFonts w:ascii="Tahoma" w:hAnsi="Tahoma" w:cs="Tahoma"/>
          <w:sz w:val="20"/>
          <w:szCs w:val="20"/>
        </w:rPr>
        <w:t>,</w:t>
      </w:r>
    </w:p>
    <w:p w:rsidR="00AA6D7F" w:rsidRPr="006F465E" w:rsidRDefault="00AA6D7F" w:rsidP="00AA6D7F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- 2/A – klatka schodowa K3,</w:t>
      </w:r>
    </w:p>
    <w:p w:rsidR="00AA6D7F" w:rsidRPr="006F465E" w:rsidRDefault="00AA6D7F" w:rsidP="00AA6D7F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- 3/A – parter, I i II piętro,</w:t>
      </w:r>
    </w:p>
    <w:p w:rsidR="00AA6D7F" w:rsidRPr="006F465E" w:rsidRDefault="00AA6D7F" w:rsidP="00AA6D7F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lastRenderedPageBreak/>
        <w:t>- 4/A – III, IV i V piętro,</w:t>
      </w:r>
    </w:p>
    <w:p w:rsidR="00AA6D7F" w:rsidRPr="006F465E" w:rsidRDefault="00AA6D7F" w:rsidP="00AA6D7F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PM/A – piwnica.</w:t>
      </w:r>
    </w:p>
    <w:p w:rsidR="00AA6D7F" w:rsidRPr="006F465E" w:rsidRDefault="00AA6D7F" w:rsidP="00AA6D7F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B</w:t>
      </w:r>
    </w:p>
    <w:p w:rsidR="00AA6D7F" w:rsidRPr="006F465E" w:rsidRDefault="00AA6D7F" w:rsidP="00AA6D7F">
      <w:pPr>
        <w:pStyle w:val="Akapitzlist"/>
        <w:ind w:left="108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strefa pożarowa:</w:t>
      </w:r>
    </w:p>
    <w:p w:rsidR="00AA6D7F" w:rsidRPr="006F465E" w:rsidRDefault="00AA6D7F" w:rsidP="00AA6D7F">
      <w:pPr>
        <w:pStyle w:val="Akapitzlist"/>
        <w:ind w:left="108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ab/>
        <w:t>- 1/B – parter,</w:t>
      </w:r>
    </w:p>
    <w:p w:rsidR="00AA6D7F" w:rsidRPr="006F465E" w:rsidRDefault="00AA6D7F" w:rsidP="00AA6D7F">
      <w:pPr>
        <w:pStyle w:val="Akapitzlist"/>
        <w:ind w:left="1080" w:firstLine="336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- 2/B – I, II, III, IV, V piętro oraz klatka schodowa K1 i dźwig d1, w obrębie strefy wydzielono klatkę schodową ścianami o klasie odporności ogniowej EI 60 i drzwiami EI 30.</w:t>
      </w:r>
    </w:p>
    <w:p w:rsidR="00AA6D7F" w:rsidRPr="006F465E" w:rsidRDefault="00AA6D7F" w:rsidP="00AA6D7F">
      <w:pPr>
        <w:pStyle w:val="Akapitzlist"/>
        <w:ind w:left="1080" w:firstLine="336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PM/B – piwnica.</w:t>
      </w:r>
    </w:p>
    <w:p w:rsidR="00AA6D7F" w:rsidRPr="006F465E" w:rsidRDefault="00AA6D7F" w:rsidP="00AA6D7F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C</w:t>
      </w:r>
    </w:p>
    <w:p w:rsidR="00AA6D7F" w:rsidRPr="006F465E" w:rsidRDefault="00AA6D7F" w:rsidP="00AA6D7F">
      <w:pPr>
        <w:pStyle w:val="Akapitzlist"/>
        <w:ind w:left="1016" w:firstLine="64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strefa pożarowa:</w:t>
      </w:r>
    </w:p>
    <w:p w:rsidR="00AA6D7F" w:rsidRPr="006F465E" w:rsidRDefault="00AA6D7F" w:rsidP="00AA6D7F">
      <w:pPr>
        <w:pStyle w:val="Akapitzlist"/>
        <w:ind w:left="644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ab/>
      </w:r>
      <w:r w:rsidRPr="006F465E">
        <w:rPr>
          <w:rFonts w:ascii="Tahoma" w:hAnsi="Tahoma" w:cs="Tahoma"/>
          <w:sz w:val="20"/>
          <w:szCs w:val="20"/>
        </w:rPr>
        <w:tab/>
        <w:t>- 1/C – parter, I i II piętro, w obrębie strefy wydzielono klatkę schodową ścianami o klasie odporności ogniowej EI 60 i drzwiami EI 30,</w:t>
      </w:r>
    </w:p>
    <w:p w:rsidR="00AA6D7F" w:rsidRPr="006F465E" w:rsidRDefault="00AA6D7F" w:rsidP="00AA6D7F">
      <w:pPr>
        <w:pStyle w:val="Akapitzlist"/>
        <w:ind w:left="1288" w:firstLine="128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PM/C – piwnica.</w:t>
      </w:r>
    </w:p>
    <w:p w:rsidR="00F53DB6" w:rsidRPr="006F465E" w:rsidRDefault="00F53DB6" w:rsidP="00F53DB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D</w:t>
      </w:r>
    </w:p>
    <w:p w:rsidR="00F53DB6" w:rsidRPr="006F465E" w:rsidRDefault="00F53DB6" w:rsidP="00F53DB6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- 1/D – ograniczona osiami 1D-4D i AD-DD,</w:t>
      </w:r>
    </w:p>
    <w:p w:rsidR="00F53DB6" w:rsidRPr="006F465E" w:rsidRDefault="00F53DB6" w:rsidP="00F53DB6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- 2/D – ograniczona osiami DD-GD i 1D-2D,</w:t>
      </w:r>
    </w:p>
    <w:p w:rsidR="00F53DB6" w:rsidRPr="006F465E" w:rsidRDefault="00F53DB6" w:rsidP="00F53DB6">
      <w:pPr>
        <w:pStyle w:val="Akapitzlist"/>
        <w:ind w:left="1440"/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- 3/D – ograniczona osiami DD-GD i 2D-4D, w obrębie strefy wydzielono pomieszczenie PM rozdzielni głównej obiektowej i pomieszczenia szaf dystrybucyjnych ścianami o klasie odporności ogniowej EI 60; wydzielono pomieszczenie PM wodomierza głównego ścianami o klasie odporności ogniowej EI 60; wydzielono pomieszczenie PM przepompowni ścieków technologicznych ścianami o klasie odporności ogniowej EI 60.</w:t>
      </w:r>
    </w:p>
    <w:p w:rsidR="00F53DB6" w:rsidRPr="006F465E" w:rsidRDefault="00F53DB6" w:rsidP="00F53DB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Trafostacja – stanowi odrębną strefę pożarową PM.</w:t>
      </w:r>
    </w:p>
    <w:p w:rsidR="00AA6D7F" w:rsidRPr="006F465E" w:rsidRDefault="00AA6D7F" w:rsidP="00AA6D7F">
      <w:pPr>
        <w:pStyle w:val="Akapitzlist"/>
        <w:ind w:left="1080" w:firstLine="336"/>
        <w:rPr>
          <w:rFonts w:ascii="Tahoma" w:hAnsi="Tahoma" w:cs="Tahoma"/>
          <w:sz w:val="20"/>
          <w:szCs w:val="20"/>
        </w:rPr>
      </w:pPr>
    </w:p>
    <w:p w:rsidR="00D22241" w:rsidRPr="006F465E" w:rsidRDefault="00D22241" w:rsidP="00A05246">
      <w:pPr>
        <w:pStyle w:val="Akapitzlist"/>
        <w:numPr>
          <w:ilvl w:val="0"/>
          <w:numId w:val="12"/>
        </w:numPr>
        <w:rPr>
          <w:rFonts w:ascii="Tahoma" w:hAnsi="Tahoma" w:cs="Tahoma"/>
          <w:b/>
          <w:sz w:val="20"/>
          <w:szCs w:val="20"/>
        </w:rPr>
      </w:pPr>
      <w:r w:rsidRPr="006F465E">
        <w:rPr>
          <w:rFonts w:ascii="Tahoma" w:hAnsi="Tahoma" w:cs="Tahoma"/>
          <w:b/>
          <w:sz w:val="20"/>
          <w:szCs w:val="20"/>
        </w:rPr>
        <w:t>Gęstość obciążenia ogniowego:</w:t>
      </w:r>
    </w:p>
    <w:p w:rsidR="00D22241" w:rsidRPr="006F465E" w:rsidRDefault="005412F6" w:rsidP="00A0524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W budynkach A, B , C oraz budynku D poniżej osi DD</w:t>
      </w:r>
      <w:r w:rsidR="00D22241" w:rsidRPr="006F465E">
        <w:rPr>
          <w:rFonts w:ascii="Tahoma" w:hAnsi="Tahoma" w:cs="Tahoma"/>
          <w:sz w:val="20"/>
          <w:szCs w:val="20"/>
        </w:rPr>
        <w:t xml:space="preserve"> do 500 MJ/m</w:t>
      </w:r>
      <w:r w:rsidR="00D22241" w:rsidRPr="006F465E">
        <w:rPr>
          <w:rFonts w:ascii="Tahoma" w:hAnsi="Tahoma" w:cs="Tahoma"/>
          <w:sz w:val="20"/>
          <w:szCs w:val="20"/>
          <w:vertAlign w:val="superscript"/>
        </w:rPr>
        <w:t>2</w:t>
      </w:r>
      <w:r w:rsidR="00D22241" w:rsidRPr="006F465E">
        <w:rPr>
          <w:rFonts w:ascii="Tahoma" w:hAnsi="Tahoma" w:cs="Tahoma"/>
          <w:sz w:val="20"/>
          <w:szCs w:val="20"/>
        </w:rPr>
        <w:t>,</w:t>
      </w:r>
    </w:p>
    <w:p w:rsidR="00D22241" w:rsidRPr="006F465E" w:rsidRDefault="005412F6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W budynku D powyżej osi DD</w:t>
      </w:r>
      <w:r w:rsidR="00D22241" w:rsidRPr="006F465E">
        <w:rPr>
          <w:rFonts w:ascii="Tahoma" w:hAnsi="Tahoma" w:cs="Tahoma"/>
          <w:sz w:val="20"/>
          <w:szCs w:val="20"/>
        </w:rPr>
        <w:t xml:space="preserve"> do 1000 MJ/m</w:t>
      </w:r>
      <w:r w:rsidR="00D22241" w:rsidRPr="006F465E">
        <w:rPr>
          <w:rFonts w:ascii="Tahoma" w:hAnsi="Tahoma" w:cs="Tahoma"/>
          <w:sz w:val="20"/>
          <w:szCs w:val="20"/>
          <w:vertAlign w:val="superscript"/>
        </w:rPr>
        <w:t>2</w:t>
      </w:r>
      <w:r w:rsidR="00D22241" w:rsidRPr="006F465E">
        <w:rPr>
          <w:rFonts w:ascii="Tahoma" w:hAnsi="Tahoma" w:cs="Tahoma"/>
          <w:sz w:val="20"/>
          <w:szCs w:val="20"/>
        </w:rPr>
        <w:t>,</w:t>
      </w:r>
      <w:r w:rsidRPr="006F465E">
        <w:rPr>
          <w:rFonts w:ascii="Tahoma" w:hAnsi="Tahoma" w:cs="Tahoma"/>
          <w:sz w:val="20"/>
          <w:szCs w:val="20"/>
        </w:rPr>
        <w:t xml:space="preserve"> w budynku</w:t>
      </w:r>
      <w:r w:rsidR="005E3C1A" w:rsidRPr="006F465E">
        <w:rPr>
          <w:rFonts w:ascii="Tahoma" w:hAnsi="Tahoma" w:cs="Tahoma"/>
          <w:sz w:val="20"/>
          <w:szCs w:val="20"/>
        </w:rPr>
        <w:t xml:space="preserve"> D mogą występować ciekłe materiały palne, dla których wyznacza się strefę zagrożenia wybuchem – strefa 2.</w:t>
      </w:r>
    </w:p>
    <w:p w:rsidR="00F53DB6" w:rsidRPr="006F465E" w:rsidRDefault="00F53DB6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trafostacji do 500 MJ/m</w:t>
      </w:r>
      <w:r w:rsidRPr="006F465E">
        <w:rPr>
          <w:rFonts w:ascii="Tahoma" w:hAnsi="Tahoma" w:cs="Tahoma"/>
          <w:sz w:val="20"/>
          <w:szCs w:val="20"/>
          <w:vertAlign w:val="superscript"/>
        </w:rPr>
        <w:t>2</w:t>
      </w:r>
    </w:p>
    <w:p w:rsidR="00D22241" w:rsidRPr="006F465E" w:rsidRDefault="00D22241" w:rsidP="00A05246">
      <w:pPr>
        <w:rPr>
          <w:rFonts w:ascii="Tahoma" w:hAnsi="Tahoma" w:cs="Tahoma"/>
          <w:sz w:val="20"/>
          <w:szCs w:val="20"/>
        </w:rPr>
      </w:pPr>
    </w:p>
    <w:p w:rsidR="00D22241" w:rsidRPr="006F465E" w:rsidRDefault="00D22241" w:rsidP="00A05246">
      <w:pPr>
        <w:pStyle w:val="Akapitzlist"/>
        <w:numPr>
          <w:ilvl w:val="0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b/>
          <w:sz w:val="20"/>
          <w:szCs w:val="20"/>
        </w:rPr>
        <w:t>Kategoria Zagrożenia ludzi</w:t>
      </w:r>
      <w:r w:rsidR="005E3C1A" w:rsidRPr="006F465E">
        <w:rPr>
          <w:rFonts w:ascii="Tahoma" w:hAnsi="Tahoma" w:cs="Tahoma"/>
          <w:b/>
          <w:sz w:val="20"/>
          <w:szCs w:val="20"/>
        </w:rPr>
        <w:t>:</w:t>
      </w:r>
    </w:p>
    <w:p w:rsidR="005E3C1A" w:rsidRPr="006F465E" w:rsidRDefault="005E3C1A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A: ZL I + ZL III (+ piwnica zakwalifikowana do PM)</w:t>
      </w:r>
    </w:p>
    <w:p w:rsidR="005E3C1A" w:rsidRPr="006F465E" w:rsidRDefault="005E3C1A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B: ZL II + ZL III (+ piwnica zakwalifikowana do PM)</w:t>
      </w:r>
    </w:p>
    <w:p w:rsidR="005E3C1A" w:rsidRPr="006F465E" w:rsidRDefault="005E3C1A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C: ZL I + ZL III (+ piwnica zakwalifikowana do PM)</w:t>
      </w:r>
    </w:p>
    <w:p w:rsidR="005E3C1A" w:rsidRPr="006F465E" w:rsidRDefault="005E3C1A" w:rsidP="005E3C1A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 D: ZL III (z wydzielonymi pomieszczeniami PM), PM oraz PM (z częścią pomieszczeń zakwalifikowanych do ZL III, funkcjonalnie połączonych z PM).</w:t>
      </w:r>
    </w:p>
    <w:p w:rsidR="005E3C1A" w:rsidRPr="006F465E" w:rsidRDefault="005E3C1A" w:rsidP="005E3C1A">
      <w:pPr>
        <w:pStyle w:val="Akapitzlist"/>
        <w:ind w:left="1440"/>
        <w:rPr>
          <w:rFonts w:ascii="Tahoma" w:hAnsi="Tahoma" w:cs="Tahoma"/>
          <w:sz w:val="20"/>
          <w:szCs w:val="20"/>
        </w:rPr>
      </w:pPr>
    </w:p>
    <w:p w:rsidR="00D22241" w:rsidRPr="006F465E" w:rsidRDefault="00D22241" w:rsidP="00A05246">
      <w:pPr>
        <w:pStyle w:val="Akapitzlist"/>
        <w:numPr>
          <w:ilvl w:val="0"/>
          <w:numId w:val="12"/>
        </w:numPr>
        <w:rPr>
          <w:rFonts w:ascii="Tahoma" w:hAnsi="Tahoma" w:cs="Tahoma"/>
          <w:b/>
          <w:sz w:val="20"/>
          <w:szCs w:val="20"/>
        </w:rPr>
      </w:pPr>
      <w:r w:rsidRPr="006F465E">
        <w:rPr>
          <w:rFonts w:ascii="Tahoma" w:hAnsi="Tahoma" w:cs="Tahoma"/>
          <w:b/>
          <w:sz w:val="20"/>
          <w:szCs w:val="20"/>
        </w:rPr>
        <w:t>Dobór urządzeń przeciwpożarowych w obiekcie:</w:t>
      </w:r>
    </w:p>
    <w:p w:rsidR="00D22241" w:rsidRPr="006F465E" w:rsidRDefault="00D22241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Hydranty wewnętr</w:t>
      </w:r>
      <w:r w:rsidR="00873C39" w:rsidRPr="006F465E">
        <w:rPr>
          <w:rFonts w:ascii="Tahoma" w:hAnsi="Tahoma" w:cs="Tahoma"/>
          <w:sz w:val="20"/>
          <w:szCs w:val="20"/>
        </w:rPr>
        <w:t xml:space="preserve">zne-  w budynkach A, B i C zastosowano 7 pionów (na kondygnacji parteru 8 pionów) hydrantów HP 25 szafkowych z wężem gumowym o długości 30 m ; po 3 sztuki na kondygnacjach nadziemnych budynku A, po dwie sztuki na kondygnacjach nadziemnych budynku B oraz po dwie sztuki na kondygnacjach nadziemnych budynku C (na parterze 3 szt.); budynek </w:t>
      </w:r>
      <w:r w:rsidR="007B6AAC" w:rsidRPr="006F465E">
        <w:rPr>
          <w:rFonts w:ascii="Tahoma" w:hAnsi="Tahoma" w:cs="Tahoma"/>
          <w:sz w:val="20"/>
          <w:szCs w:val="20"/>
        </w:rPr>
        <w:t>D wyposażono w jeden hydrant 52,</w:t>
      </w:r>
    </w:p>
    <w:p w:rsidR="007B6AAC" w:rsidRPr="006F465E" w:rsidRDefault="007B6AAC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Hydranty zewnętrzne – 2 szt. o średnicy DN80.</w:t>
      </w:r>
    </w:p>
    <w:p w:rsidR="007B6AAC" w:rsidRPr="006F465E" w:rsidRDefault="007B6AAC" w:rsidP="007B6AA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Gaśnice proszkowe ABC,</w:t>
      </w:r>
    </w:p>
    <w:p w:rsidR="00D22241" w:rsidRPr="006F465E" w:rsidRDefault="00D22241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Klapy oddymiające na klatkach schodowych,</w:t>
      </w:r>
    </w:p>
    <w:p w:rsidR="00D22241" w:rsidRPr="006F465E" w:rsidRDefault="00D22241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Oświetlenie awaryjne i ewakuacyjne,</w:t>
      </w:r>
    </w:p>
    <w:p w:rsidR="00873C39" w:rsidRPr="006F465E" w:rsidRDefault="00873C39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Grawitacyjna instalacja oddymiająca,</w:t>
      </w:r>
    </w:p>
    <w:p w:rsidR="00873C39" w:rsidRPr="006F465E" w:rsidRDefault="00873C39" w:rsidP="0009755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Zasilanie alternatywne zapewnia ciągłość dostawy energii elektrycznej w warunkach pożaru nie krócej niż 90 min, dopuszcza się ograniczenia czasu do 30 min tylko dla przewodów i kabli zasilających i sterujących urządzeniami klap dymowych;</w:t>
      </w:r>
    </w:p>
    <w:p w:rsidR="007F7457" w:rsidRPr="006F465E" w:rsidRDefault="00D22241" w:rsidP="007B6AAC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Klapy odcinające na kanałach wentylacyjnych przechodzących przez ściany i</w:t>
      </w:r>
      <w:r w:rsidR="007B6AAC" w:rsidRPr="006F465E">
        <w:rPr>
          <w:rFonts w:ascii="Tahoma" w:hAnsi="Tahoma" w:cs="Tahoma"/>
          <w:sz w:val="20"/>
          <w:szCs w:val="20"/>
        </w:rPr>
        <w:t xml:space="preserve"> stropy oddzielenia pożarowego.</w:t>
      </w:r>
    </w:p>
    <w:p w:rsidR="00D22241" w:rsidRPr="006F465E" w:rsidRDefault="007F7457" w:rsidP="00B621D2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System sygnalizacji pożaru</w:t>
      </w:r>
      <w:r w:rsidR="00B621D2" w:rsidRPr="006F465E">
        <w:rPr>
          <w:rFonts w:ascii="Tahoma" w:hAnsi="Tahoma" w:cs="Tahoma"/>
          <w:sz w:val="20"/>
          <w:szCs w:val="20"/>
        </w:rPr>
        <w:t xml:space="preserve"> -</w:t>
      </w:r>
      <w:r w:rsidRPr="006F465E">
        <w:rPr>
          <w:rFonts w:ascii="Tahoma" w:hAnsi="Tahoma" w:cs="Tahoma"/>
          <w:sz w:val="20"/>
          <w:szCs w:val="20"/>
        </w:rPr>
        <w:t xml:space="preserve"> zapewnia pełną ochronę budynku. Oznacza to że chronione są wszystkie pomieszczenia w tym również piwnice. Zastosowano system sygnalizacji alarmu pożaru adresowalny. Steruje on urządzeniami wykonawczymi (oddymianiem, zamykaniem klap na przewodach wentylacyjnych, zwolnieniem zamków w drzwiach ewakuacyjnych objętych kontrola dostępu, zwolnieniem trzymaczy elektromagnetycznych). W całym obiekcie rozmieszczono ręczne ostrzeganie pożarowe. Centrala sygnalizacji pożaru zlokalizowana jest w pomieszczeniu nadzoru technicznego </w:t>
      </w:r>
      <w:r w:rsidRPr="006F465E">
        <w:rPr>
          <w:rFonts w:ascii="Tahoma" w:hAnsi="Tahoma" w:cs="Tahoma"/>
          <w:sz w:val="20"/>
          <w:szCs w:val="20"/>
        </w:rPr>
        <w:lastRenderedPageBreak/>
        <w:t>(chroniony czujką i ręcznym ostrzeganiem pożarowym). W pomieszczeniu tym znajduje się szczegółowy plan obiektu, umożliwiający obsłudze szybką lokalizację zdarzenia.</w:t>
      </w:r>
    </w:p>
    <w:p w:rsidR="007F7457" w:rsidRPr="006F465E" w:rsidRDefault="00B621D2" w:rsidP="00B621D2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S</w:t>
      </w:r>
      <w:r w:rsidR="007F7457" w:rsidRPr="006F465E">
        <w:rPr>
          <w:rFonts w:ascii="Tahoma" w:hAnsi="Tahoma" w:cs="Tahoma"/>
          <w:sz w:val="20"/>
          <w:szCs w:val="20"/>
        </w:rPr>
        <w:t>ystem DSO (dźwiękowy system ostrzegawczy).</w:t>
      </w:r>
    </w:p>
    <w:p w:rsidR="007F7457" w:rsidRPr="006F465E" w:rsidRDefault="007F7457" w:rsidP="00140330">
      <w:pPr>
        <w:rPr>
          <w:rFonts w:ascii="Tahoma" w:hAnsi="Tahoma" w:cs="Tahoma"/>
          <w:sz w:val="20"/>
          <w:szCs w:val="20"/>
        </w:rPr>
      </w:pPr>
    </w:p>
    <w:p w:rsidR="007F7457" w:rsidRPr="006F465E" w:rsidRDefault="007F7457" w:rsidP="00140330">
      <w:pPr>
        <w:rPr>
          <w:rFonts w:ascii="Tahoma" w:hAnsi="Tahoma" w:cs="Tahoma"/>
          <w:sz w:val="20"/>
          <w:szCs w:val="20"/>
        </w:rPr>
      </w:pPr>
    </w:p>
    <w:p w:rsidR="00D22241" w:rsidRDefault="00D22241" w:rsidP="00A05246">
      <w:p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Jednostka straży pożarnej zlokalizowana w bardzo bliskiej odległości nie przekraczającej 1 km.</w:t>
      </w:r>
    </w:p>
    <w:p w:rsidR="00D22241" w:rsidRDefault="00D22241" w:rsidP="00A05246">
      <w:pPr>
        <w:rPr>
          <w:rFonts w:ascii="Tahoma" w:hAnsi="Tahoma" w:cs="Tahoma"/>
          <w:sz w:val="20"/>
          <w:szCs w:val="20"/>
        </w:rPr>
      </w:pPr>
    </w:p>
    <w:p w:rsidR="00D22241" w:rsidRPr="007D6073" w:rsidRDefault="00D22241" w:rsidP="00A05246">
      <w:pPr>
        <w:rPr>
          <w:rFonts w:ascii="Tahoma" w:hAnsi="Tahoma" w:cs="Tahoma"/>
          <w:sz w:val="20"/>
          <w:szCs w:val="20"/>
          <w:u w:val="single"/>
        </w:rPr>
      </w:pPr>
      <w:r w:rsidRPr="007D6073">
        <w:rPr>
          <w:rFonts w:ascii="Tahoma" w:hAnsi="Tahoma" w:cs="Tahoma"/>
          <w:sz w:val="20"/>
          <w:szCs w:val="20"/>
          <w:u w:val="single"/>
        </w:rPr>
        <w:t>Zabezpieczenia przeciwkradzieżowe:</w:t>
      </w:r>
    </w:p>
    <w:p w:rsidR="00D22241" w:rsidRDefault="00D22241" w:rsidP="00A05246">
      <w:pPr>
        <w:rPr>
          <w:rFonts w:ascii="Tahoma" w:hAnsi="Tahoma" w:cs="Tahoma"/>
          <w:sz w:val="20"/>
          <w:szCs w:val="20"/>
        </w:rPr>
      </w:pPr>
    </w:p>
    <w:p w:rsidR="00D22241" w:rsidRDefault="00D22241" w:rsidP="0052357E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 w:rsidRPr="006F465E">
        <w:rPr>
          <w:rFonts w:ascii="Tahoma" w:hAnsi="Tahoma" w:cs="Tahoma"/>
          <w:sz w:val="20"/>
          <w:szCs w:val="20"/>
        </w:rPr>
        <w:t>Budynek</w:t>
      </w:r>
      <w:r>
        <w:rPr>
          <w:rFonts w:ascii="Tahoma" w:hAnsi="Tahoma" w:cs="Tahoma"/>
          <w:sz w:val="20"/>
          <w:szCs w:val="20"/>
        </w:rPr>
        <w:t xml:space="preserve"> jest oświetlony i ogrodzony siatka stalową wys. 2,20 m.</w:t>
      </w:r>
    </w:p>
    <w:p w:rsidR="0052357E" w:rsidRDefault="0052357E" w:rsidP="0052357E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System kontroli dostępu, który ogranicza swobodę poruszania się osób obcych z wydzieleniem stref dostępu tylko dla osób do tego uprawnionych (posiadających odpowiednie karty zbliżeniowe).</w:t>
      </w:r>
    </w:p>
    <w:p w:rsidR="0052357E" w:rsidRDefault="0052357E" w:rsidP="0052357E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System sygnalizacji włamania wraz z powiadomieniem odpowiednich jednostek interwencyjnych.</w:t>
      </w:r>
    </w:p>
    <w:p w:rsidR="0052357E" w:rsidRDefault="0052357E" w:rsidP="0052357E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System telewizji dozorowej – dozoruje parking, teren wokół budynku, wejścia do budynku przez 24 h na dobę.</w:t>
      </w:r>
    </w:p>
    <w:p w:rsidR="006F465E" w:rsidRPr="006F465E" w:rsidRDefault="006F465E" w:rsidP="006F465E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Dozór całodobowy za pomocą pracowników własnych i pracowników firmy ochroniarskiej Ekotrade. </w:t>
      </w:r>
    </w:p>
    <w:p w:rsidR="00464199" w:rsidRPr="006F465E" w:rsidRDefault="006F465E" w:rsidP="00A05246">
      <w:pPr>
        <w:pStyle w:val="Akapitzlist"/>
        <w:numPr>
          <w:ilvl w:val="1"/>
          <w:numId w:val="12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System SMS – monitoring i integracja systemów zainstalowanych w obiekcie.</w:t>
      </w:r>
    </w:p>
    <w:p w:rsidR="00464199" w:rsidRDefault="00464199" w:rsidP="00464199">
      <w:pPr>
        <w:rPr>
          <w:rFonts w:ascii="Arial" w:hAnsi="Arial" w:cs="Arial"/>
          <w:color w:val="000080"/>
          <w:sz w:val="20"/>
          <w:szCs w:val="20"/>
        </w:rPr>
      </w:pPr>
    </w:p>
    <w:p w:rsidR="00464199" w:rsidRDefault="00464199" w:rsidP="00464199">
      <w:pPr>
        <w:rPr>
          <w:rFonts w:ascii="Arial" w:hAnsi="Arial" w:cs="Arial"/>
          <w:color w:val="000080"/>
          <w:sz w:val="20"/>
          <w:szCs w:val="20"/>
        </w:rPr>
      </w:pPr>
    </w:p>
    <w:p w:rsidR="00464199" w:rsidRPr="00A05246" w:rsidRDefault="00464199" w:rsidP="00A05246">
      <w:pPr>
        <w:rPr>
          <w:rFonts w:ascii="Tahoma" w:hAnsi="Tahoma" w:cs="Tahoma"/>
          <w:sz w:val="20"/>
          <w:szCs w:val="20"/>
        </w:rPr>
      </w:pPr>
    </w:p>
    <w:sectPr w:rsidR="00464199" w:rsidRPr="00A05246" w:rsidSect="00985A86">
      <w:footerReference w:type="even" r:id="rId10"/>
      <w:footerReference w:type="default" r:id="rId11"/>
      <w:headerReference w:type="first" r:id="rId12"/>
      <w:pgSz w:w="11906" w:h="16838" w:code="9"/>
      <w:pgMar w:top="1418" w:right="1134" w:bottom="709" w:left="1418" w:header="70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C4E" w:rsidRDefault="00A10C4E">
      <w:r>
        <w:separator/>
      </w:r>
    </w:p>
  </w:endnote>
  <w:endnote w:type="continuationSeparator" w:id="0">
    <w:p w:rsidR="00A10C4E" w:rsidRDefault="00A1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241" w:rsidRDefault="00EF385E" w:rsidP="00985A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2224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22241" w:rsidRDefault="00D22241" w:rsidP="00985A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E0A" w:rsidRDefault="00494E0A">
    <w:pPr>
      <w:pStyle w:val="Stopka"/>
      <w:jc w:val="right"/>
    </w:pPr>
    <w:r>
      <w:t xml:space="preserve">Strona </w:t>
    </w:r>
    <w:r w:rsidR="00EF385E">
      <w:rPr>
        <w:b/>
      </w:rPr>
      <w:fldChar w:fldCharType="begin"/>
    </w:r>
    <w:r>
      <w:rPr>
        <w:b/>
      </w:rPr>
      <w:instrText>PAGE</w:instrText>
    </w:r>
    <w:r w:rsidR="00EF385E">
      <w:rPr>
        <w:b/>
      </w:rPr>
      <w:fldChar w:fldCharType="separate"/>
    </w:r>
    <w:r w:rsidR="0015720F">
      <w:rPr>
        <w:b/>
        <w:noProof/>
      </w:rPr>
      <w:t>2</w:t>
    </w:r>
    <w:r w:rsidR="00EF385E">
      <w:rPr>
        <w:b/>
      </w:rPr>
      <w:fldChar w:fldCharType="end"/>
    </w:r>
    <w:r>
      <w:t xml:space="preserve"> z </w:t>
    </w:r>
    <w:r w:rsidR="00EF385E">
      <w:rPr>
        <w:b/>
      </w:rPr>
      <w:fldChar w:fldCharType="begin"/>
    </w:r>
    <w:r>
      <w:rPr>
        <w:b/>
      </w:rPr>
      <w:instrText>NUMPAGES</w:instrText>
    </w:r>
    <w:r w:rsidR="00EF385E">
      <w:rPr>
        <w:b/>
      </w:rPr>
      <w:fldChar w:fldCharType="separate"/>
    </w:r>
    <w:r w:rsidR="0015720F">
      <w:rPr>
        <w:b/>
        <w:noProof/>
      </w:rPr>
      <w:t>4</w:t>
    </w:r>
    <w:r w:rsidR="00EF385E">
      <w:rPr>
        <w:b/>
      </w:rPr>
      <w:fldChar w:fldCharType="end"/>
    </w:r>
  </w:p>
  <w:p w:rsidR="00D22241" w:rsidRPr="000F6959" w:rsidRDefault="00D22241" w:rsidP="00985A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C4E" w:rsidRDefault="00A10C4E">
      <w:r>
        <w:separator/>
      </w:r>
    </w:p>
  </w:footnote>
  <w:footnote w:type="continuationSeparator" w:id="0">
    <w:p w:rsidR="00A10C4E" w:rsidRDefault="00A1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F32" w:rsidRDefault="00686F32" w:rsidP="00686F32">
    <w:pPr>
      <w:pStyle w:val="Nagwek"/>
      <w:pBdr>
        <w:between w:val="single" w:sz="4" w:space="1" w:color="4F81BD"/>
      </w:pBdr>
      <w:spacing w:line="276" w:lineRule="auto"/>
      <w:jc w:val="center"/>
    </w:pPr>
  </w:p>
  <w:p w:rsidR="00D22241" w:rsidRPr="000F6959" w:rsidRDefault="00D22241" w:rsidP="00985A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8497C"/>
    <w:multiLevelType w:val="hybridMultilevel"/>
    <w:tmpl w:val="0A0E15A6"/>
    <w:lvl w:ilvl="0" w:tplc="C2FAADBC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A602556"/>
    <w:multiLevelType w:val="hybridMultilevel"/>
    <w:tmpl w:val="271E3498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C5D7C"/>
    <w:multiLevelType w:val="hybridMultilevel"/>
    <w:tmpl w:val="53D46F0E"/>
    <w:lvl w:ilvl="0" w:tplc="E0D26C8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85D"/>
    <w:multiLevelType w:val="hybridMultilevel"/>
    <w:tmpl w:val="1F44C3CA"/>
    <w:lvl w:ilvl="0" w:tplc="A1D8424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 w:hint="default"/>
        <w:b/>
      </w:rPr>
    </w:lvl>
    <w:lvl w:ilvl="1" w:tplc="E1EE0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B1201C9"/>
    <w:multiLevelType w:val="hybridMultilevel"/>
    <w:tmpl w:val="40EAB272"/>
    <w:lvl w:ilvl="0" w:tplc="BCEA0C48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C9C1A73"/>
    <w:multiLevelType w:val="hybridMultilevel"/>
    <w:tmpl w:val="BB00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9C4658D"/>
    <w:multiLevelType w:val="hybridMultilevel"/>
    <w:tmpl w:val="32463804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9C01DFC"/>
    <w:multiLevelType w:val="hybridMultilevel"/>
    <w:tmpl w:val="5CD25AF4"/>
    <w:lvl w:ilvl="0" w:tplc="F3D491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E203B55"/>
    <w:multiLevelType w:val="hybridMultilevel"/>
    <w:tmpl w:val="CAE41F20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3E22AA4"/>
    <w:multiLevelType w:val="hybridMultilevel"/>
    <w:tmpl w:val="187809C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74714"/>
    <w:multiLevelType w:val="multilevel"/>
    <w:tmpl w:val="F66C4F9A"/>
    <w:styleLink w:val="StylKonspektynumerowaneTahoma6pt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7.%4."/>
      <w:lvlJc w:val="left"/>
      <w:pPr>
        <w:tabs>
          <w:tab w:val="num" w:pos="720"/>
        </w:tabs>
        <w:ind w:left="720" w:hanging="720"/>
      </w:pPr>
      <w:rPr>
        <w:rFonts w:ascii="Tahoma" w:hAnsi="Tahoma" w:cs="Times New Roman" w:hint="default"/>
        <w:sz w:val="12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1" w15:restartNumberingAfterBreak="0">
    <w:nsid w:val="79796008"/>
    <w:multiLevelType w:val="hybridMultilevel"/>
    <w:tmpl w:val="B972E6B6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1"/>
  </w:num>
  <w:num w:numId="8">
    <w:abstractNumId w:val="9"/>
  </w:num>
  <w:num w:numId="9">
    <w:abstractNumId w:val="0"/>
  </w:num>
  <w:num w:numId="10">
    <w:abstractNumId w:val="4"/>
  </w:num>
  <w:num w:numId="11">
    <w:abstractNumId w:val="5"/>
  </w:num>
  <w:num w:numId="1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D77"/>
    <w:rsid w:val="00045EC7"/>
    <w:rsid w:val="00047BC0"/>
    <w:rsid w:val="00063D77"/>
    <w:rsid w:val="00083715"/>
    <w:rsid w:val="0009755C"/>
    <w:rsid w:val="000C4E96"/>
    <w:rsid w:val="000F6959"/>
    <w:rsid w:val="000F7737"/>
    <w:rsid w:val="00100BBC"/>
    <w:rsid w:val="00120887"/>
    <w:rsid w:val="001278A6"/>
    <w:rsid w:val="00140330"/>
    <w:rsid w:val="00140A80"/>
    <w:rsid w:val="00153569"/>
    <w:rsid w:val="00155F69"/>
    <w:rsid w:val="0015720F"/>
    <w:rsid w:val="00171AD6"/>
    <w:rsid w:val="001772B1"/>
    <w:rsid w:val="001A2588"/>
    <w:rsid w:val="001A6EE2"/>
    <w:rsid w:val="001B2E23"/>
    <w:rsid w:val="00224C5A"/>
    <w:rsid w:val="002719A4"/>
    <w:rsid w:val="00275C95"/>
    <w:rsid w:val="00283584"/>
    <w:rsid w:val="002917A5"/>
    <w:rsid w:val="002B3F37"/>
    <w:rsid w:val="002D0DDA"/>
    <w:rsid w:val="002F36B6"/>
    <w:rsid w:val="002F7D9A"/>
    <w:rsid w:val="00314479"/>
    <w:rsid w:val="00316DB7"/>
    <w:rsid w:val="00323B27"/>
    <w:rsid w:val="003434B1"/>
    <w:rsid w:val="00350688"/>
    <w:rsid w:val="003506B2"/>
    <w:rsid w:val="00355218"/>
    <w:rsid w:val="003D1801"/>
    <w:rsid w:val="003E1135"/>
    <w:rsid w:val="003F6C2E"/>
    <w:rsid w:val="0046060D"/>
    <w:rsid w:val="00464199"/>
    <w:rsid w:val="00494E0A"/>
    <w:rsid w:val="004B6F1F"/>
    <w:rsid w:val="004C5875"/>
    <w:rsid w:val="004E5829"/>
    <w:rsid w:val="004F3D35"/>
    <w:rsid w:val="004F63D4"/>
    <w:rsid w:val="005029FD"/>
    <w:rsid w:val="00515446"/>
    <w:rsid w:val="0052357E"/>
    <w:rsid w:val="00531023"/>
    <w:rsid w:val="00532A5E"/>
    <w:rsid w:val="0053536E"/>
    <w:rsid w:val="00535422"/>
    <w:rsid w:val="005412F6"/>
    <w:rsid w:val="00546A4B"/>
    <w:rsid w:val="00566BFA"/>
    <w:rsid w:val="005709A2"/>
    <w:rsid w:val="005975C5"/>
    <w:rsid w:val="005B1FCE"/>
    <w:rsid w:val="005B5539"/>
    <w:rsid w:val="005C57D0"/>
    <w:rsid w:val="005D50CE"/>
    <w:rsid w:val="005D715F"/>
    <w:rsid w:val="005E3C1A"/>
    <w:rsid w:val="00607BBB"/>
    <w:rsid w:val="00632D9A"/>
    <w:rsid w:val="006404BD"/>
    <w:rsid w:val="00665F73"/>
    <w:rsid w:val="00686F32"/>
    <w:rsid w:val="00692008"/>
    <w:rsid w:val="006A079A"/>
    <w:rsid w:val="006A0F16"/>
    <w:rsid w:val="006D215E"/>
    <w:rsid w:val="006D732E"/>
    <w:rsid w:val="006F2FA3"/>
    <w:rsid w:val="006F465E"/>
    <w:rsid w:val="007244A2"/>
    <w:rsid w:val="00724A6B"/>
    <w:rsid w:val="007400C8"/>
    <w:rsid w:val="007742AA"/>
    <w:rsid w:val="007A7870"/>
    <w:rsid w:val="007B6AAC"/>
    <w:rsid w:val="007C0C72"/>
    <w:rsid w:val="007D1E2F"/>
    <w:rsid w:val="007D6073"/>
    <w:rsid w:val="007F27A8"/>
    <w:rsid w:val="007F2977"/>
    <w:rsid w:val="007F6DB3"/>
    <w:rsid w:val="007F7457"/>
    <w:rsid w:val="008149B5"/>
    <w:rsid w:val="00817BBB"/>
    <w:rsid w:val="00817C27"/>
    <w:rsid w:val="008216E1"/>
    <w:rsid w:val="00853BC9"/>
    <w:rsid w:val="00860B39"/>
    <w:rsid w:val="00873C39"/>
    <w:rsid w:val="00884D73"/>
    <w:rsid w:val="00887FCC"/>
    <w:rsid w:val="008B7E4B"/>
    <w:rsid w:val="008C57F5"/>
    <w:rsid w:val="008D78A9"/>
    <w:rsid w:val="008E0B65"/>
    <w:rsid w:val="00902D9D"/>
    <w:rsid w:val="00916548"/>
    <w:rsid w:val="00917B86"/>
    <w:rsid w:val="00923722"/>
    <w:rsid w:val="00930FD6"/>
    <w:rsid w:val="00944147"/>
    <w:rsid w:val="00964FDC"/>
    <w:rsid w:val="00985A86"/>
    <w:rsid w:val="00994D8D"/>
    <w:rsid w:val="009A17BD"/>
    <w:rsid w:val="00A05246"/>
    <w:rsid w:val="00A10C4E"/>
    <w:rsid w:val="00A17495"/>
    <w:rsid w:val="00A94124"/>
    <w:rsid w:val="00AA0B33"/>
    <w:rsid w:val="00AA6D7F"/>
    <w:rsid w:val="00AD57F6"/>
    <w:rsid w:val="00B029A4"/>
    <w:rsid w:val="00B34A19"/>
    <w:rsid w:val="00B44C70"/>
    <w:rsid w:val="00B621D2"/>
    <w:rsid w:val="00B64CBC"/>
    <w:rsid w:val="00B67685"/>
    <w:rsid w:val="00B82719"/>
    <w:rsid w:val="00BA059A"/>
    <w:rsid w:val="00BE3672"/>
    <w:rsid w:val="00C02429"/>
    <w:rsid w:val="00C064A4"/>
    <w:rsid w:val="00C24841"/>
    <w:rsid w:val="00C409A4"/>
    <w:rsid w:val="00C51ABB"/>
    <w:rsid w:val="00C52646"/>
    <w:rsid w:val="00C80562"/>
    <w:rsid w:val="00C83868"/>
    <w:rsid w:val="00C9148D"/>
    <w:rsid w:val="00C91CB7"/>
    <w:rsid w:val="00CA1BED"/>
    <w:rsid w:val="00CA47FA"/>
    <w:rsid w:val="00CB0CBC"/>
    <w:rsid w:val="00CC3A85"/>
    <w:rsid w:val="00CE4A11"/>
    <w:rsid w:val="00D05F35"/>
    <w:rsid w:val="00D06AC3"/>
    <w:rsid w:val="00D11198"/>
    <w:rsid w:val="00D20C6A"/>
    <w:rsid w:val="00D22241"/>
    <w:rsid w:val="00D37541"/>
    <w:rsid w:val="00D53071"/>
    <w:rsid w:val="00D7048B"/>
    <w:rsid w:val="00D71B9C"/>
    <w:rsid w:val="00DA1030"/>
    <w:rsid w:val="00DA4FC4"/>
    <w:rsid w:val="00DB2459"/>
    <w:rsid w:val="00DB6872"/>
    <w:rsid w:val="00DD05A3"/>
    <w:rsid w:val="00DE46D0"/>
    <w:rsid w:val="00E2051F"/>
    <w:rsid w:val="00E27F95"/>
    <w:rsid w:val="00E85B5E"/>
    <w:rsid w:val="00E94265"/>
    <w:rsid w:val="00EC10ED"/>
    <w:rsid w:val="00EC7837"/>
    <w:rsid w:val="00EF385E"/>
    <w:rsid w:val="00EF7D24"/>
    <w:rsid w:val="00F43F68"/>
    <w:rsid w:val="00F53DB6"/>
    <w:rsid w:val="00F55A57"/>
    <w:rsid w:val="00F632C8"/>
    <w:rsid w:val="00F766ED"/>
    <w:rsid w:val="00FA032C"/>
    <w:rsid w:val="00FB0F37"/>
    <w:rsid w:val="00FD4E30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1DAEE69-BFD6-4B41-82C3-BA1B7105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3D7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63D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7C0C72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63D7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7C0C72"/>
    <w:rPr>
      <w:rFonts w:cs="Times New Roman"/>
      <w:sz w:val="24"/>
      <w:szCs w:val="24"/>
    </w:rPr>
  </w:style>
  <w:style w:type="character" w:styleId="Hipercze">
    <w:name w:val="Hyperlink"/>
    <w:uiPriority w:val="99"/>
    <w:rsid w:val="00063D77"/>
    <w:rPr>
      <w:rFonts w:cs="Times New Roman"/>
      <w:color w:val="0000FF"/>
      <w:u w:val="single"/>
    </w:rPr>
  </w:style>
  <w:style w:type="character" w:styleId="Numerstrony">
    <w:name w:val="page number"/>
    <w:uiPriority w:val="99"/>
    <w:rsid w:val="00063D77"/>
    <w:rPr>
      <w:rFonts w:cs="Times New Roman"/>
    </w:rPr>
  </w:style>
  <w:style w:type="character" w:styleId="Odwoaniedokomentarza">
    <w:name w:val="annotation reference"/>
    <w:uiPriority w:val="99"/>
    <w:semiHidden/>
    <w:rsid w:val="000F773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F773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7C0C7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F773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7C0C7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0F7737"/>
    <w:rPr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7C0C72"/>
    <w:rPr>
      <w:rFonts w:cs="Times New Roman"/>
      <w:sz w:val="2"/>
    </w:rPr>
  </w:style>
  <w:style w:type="paragraph" w:styleId="Akapitzlist">
    <w:name w:val="List Paragraph"/>
    <w:basedOn w:val="Normalny"/>
    <w:uiPriority w:val="99"/>
    <w:qFormat/>
    <w:rsid w:val="00EF7D24"/>
    <w:pPr>
      <w:ind w:left="720"/>
      <w:contextualSpacing/>
    </w:pPr>
  </w:style>
  <w:style w:type="numbering" w:customStyle="1" w:styleId="StylKonspektynumerowaneTahoma6pt">
    <w:name w:val="Styl Konspekty numerowane Tahoma 6 pt"/>
    <w:rsid w:val="00E9154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53786-31C9-4EF8-A521-54345B2E7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1105</Words>
  <Characters>6634</Characters>
  <Application>Microsoft Office Word</Application>
  <DocSecurity>0</DocSecurity>
  <Lines>55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„KOMPLEKSOWE UBEZPIECZENIE MAJĄTKOWE UNIWERSYTETU MEDYCZNEGO WE WROCŁAWIU NA ROK 2013/2014 Z MOŻLIWOŚCIĄ PRZEDŁUŻENIA DO 2015 ROKU”</vt:lpstr>
      <vt:lpstr>Sygnatura: ---</vt:lpstr>
    </vt:vector>
  </TitlesOfParts>
  <Company>Benefit</Company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„KOMPLEKSOWE UBEZPIECZENIE MAJĄTKOWE UNIWERSYTETU MEDYCZNEGO WE WROCŁAWIU NA ROK 2013/2014 Z MOŻLIWOŚCIĄ PRZEDŁUŻENIA DO 2015 ROKU”</dc:title>
  <dc:subject/>
  <dc:creator>Kuba</dc:creator>
  <cp:keywords/>
  <cp:lastModifiedBy>OlgaB</cp:lastModifiedBy>
  <cp:revision>2</cp:revision>
  <cp:lastPrinted>2019-05-30T12:41:00Z</cp:lastPrinted>
  <dcterms:created xsi:type="dcterms:W3CDTF">2019-09-04T07:40:00Z</dcterms:created>
  <dcterms:modified xsi:type="dcterms:W3CDTF">2019-09-04T07:40:00Z</dcterms:modified>
</cp:coreProperties>
</file>