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7B7A48" w:rsidRDefault="007B7A48" w:rsidP="007B7A48">
      <w:pPr>
        <w:shd w:val="clear" w:color="auto" w:fill="FFFFFF"/>
        <w:rPr>
          <w:rFonts w:ascii="Trebuchet MS" w:hAnsi="Trebuchet MS"/>
          <w:sz w:val="16"/>
          <w:szCs w:val="16"/>
        </w:rPr>
      </w:pPr>
      <w:r w:rsidRPr="007B7A48">
        <w:rPr>
          <w:rFonts w:ascii="Trebuchet MS" w:hAnsi="Trebuchet MS"/>
          <w:sz w:val="16"/>
          <w:szCs w:val="16"/>
        </w:rPr>
        <w:t>Uniwersytet Medyczny im. Piastów Śląskich we Wrocławiu</w:t>
      </w:r>
      <w:r w:rsidRPr="007B7A48">
        <w:rPr>
          <w:rFonts w:ascii="Trebuchet MS" w:hAnsi="Trebuchet MS"/>
          <w:sz w:val="16"/>
          <w:szCs w:val="16"/>
        </w:rPr>
        <w:br/>
        <w:t>Wybrzeże L. Pasteura 1</w:t>
      </w:r>
      <w:r w:rsidRPr="007B7A48">
        <w:rPr>
          <w:rFonts w:ascii="Trebuchet MS" w:hAnsi="Trebuchet MS"/>
          <w:sz w:val="16"/>
          <w:szCs w:val="16"/>
        </w:rPr>
        <w:br/>
        <w:t xml:space="preserve">50-367 Wrocław </w:t>
      </w:r>
    </w:p>
    <w:p w:rsidR="00D6689C" w:rsidRPr="007B7A48" w:rsidRDefault="00D6689C" w:rsidP="007B7A48">
      <w:pPr>
        <w:pStyle w:val="bodyustawa"/>
        <w:ind w:firstLine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7B7A48">
        <w:rPr>
          <w:color w:val="000000"/>
          <w:sz w:val="28"/>
          <w:szCs w:val="28"/>
        </w:rPr>
        <w:t xml:space="preserve">                     </w:t>
      </w:r>
      <w:r w:rsidR="00B952A3">
        <w:rPr>
          <w:color w:val="000000"/>
          <w:sz w:val="28"/>
          <w:szCs w:val="28"/>
        </w:rPr>
        <w:t xml:space="preserve">              </w:t>
      </w:r>
      <w:r w:rsidR="007B7A48" w:rsidRPr="007B7A48">
        <w:rPr>
          <w:color w:val="000000"/>
          <w:sz w:val="16"/>
          <w:szCs w:val="16"/>
        </w:rPr>
        <w:t>Wrocław</w:t>
      </w:r>
      <w:r w:rsidR="00E94F7B">
        <w:rPr>
          <w:color w:val="000000"/>
          <w:sz w:val="16"/>
          <w:szCs w:val="16"/>
        </w:rPr>
        <w:t xml:space="preserve">  </w:t>
      </w:r>
      <w:r w:rsidR="007C5845">
        <w:rPr>
          <w:color w:val="000000"/>
          <w:sz w:val="16"/>
          <w:szCs w:val="16"/>
        </w:rPr>
        <w:t>05</w:t>
      </w:r>
      <w:r w:rsidR="00891A1F">
        <w:rPr>
          <w:color w:val="000000"/>
          <w:sz w:val="16"/>
          <w:szCs w:val="16"/>
        </w:rPr>
        <w:t>.0</w:t>
      </w:r>
      <w:r w:rsidR="007C5845">
        <w:rPr>
          <w:color w:val="000000"/>
          <w:sz w:val="16"/>
          <w:szCs w:val="16"/>
        </w:rPr>
        <w:t>3</w:t>
      </w:r>
      <w:r w:rsidR="00891A1F">
        <w:rPr>
          <w:color w:val="000000"/>
          <w:sz w:val="16"/>
          <w:szCs w:val="16"/>
        </w:rPr>
        <w:t>.201</w:t>
      </w:r>
      <w:r w:rsidR="007C5845">
        <w:rPr>
          <w:color w:val="000000"/>
          <w:sz w:val="16"/>
          <w:szCs w:val="16"/>
        </w:rPr>
        <w:t>9</w:t>
      </w:r>
      <w:r w:rsidR="00B952A3">
        <w:rPr>
          <w:color w:val="000000"/>
          <w:sz w:val="16"/>
          <w:szCs w:val="16"/>
        </w:rPr>
        <w:t xml:space="preserve"> r.</w:t>
      </w:r>
    </w:p>
    <w:p w:rsidR="00D6689C" w:rsidRDefault="00D6689C">
      <w:pPr>
        <w:pStyle w:val="bodyustawa"/>
        <w:ind w:firstLine="0"/>
        <w:rPr>
          <w:color w:val="000000"/>
          <w:sz w:val="28"/>
          <w:szCs w:val="28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BC5EBC" w:rsidRDefault="00BC5EBC" w:rsidP="000B28E2">
      <w:pPr>
        <w:rPr>
          <w:sz w:val="22"/>
          <w:szCs w:val="28"/>
        </w:rPr>
      </w:pPr>
    </w:p>
    <w:p w:rsidR="007C5845" w:rsidRDefault="00D44C6C" w:rsidP="000B28E2">
      <w:pPr>
        <w:rPr>
          <w:b/>
          <w:bCs/>
        </w:rPr>
      </w:pPr>
      <w:r w:rsidRPr="00D44C6C">
        <w:rPr>
          <w:sz w:val="22"/>
          <w:szCs w:val="28"/>
        </w:rPr>
        <w:t xml:space="preserve">Zamawiający, Uniwersytet Medyczny we Wrocławiu, zgodnie z art. 4 pkt. 8 i w związku z art. 6a ustawy Prawo zamówień publicznych (Pzp), zaprasza Państwa do składania ofert w postępowaniu </w:t>
      </w:r>
      <w:r w:rsidRPr="00D44C6C">
        <w:rPr>
          <w:sz w:val="22"/>
          <w:szCs w:val="28"/>
        </w:rPr>
        <w:br/>
        <w:t>o wartości szacunkowej netto nieprzekraczającej równowartości kwoty 30 000,00 euro, którego przedmiotem jest</w:t>
      </w:r>
      <w:r w:rsidR="00D6689C" w:rsidRPr="00E94F7B">
        <w:rPr>
          <w:sz w:val="22"/>
          <w:szCs w:val="22"/>
        </w:rPr>
        <w:t>:</w:t>
      </w:r>
      <w:r w:rsidR="00BC5EBC">
        <w:rPr>
          <w:sz w:val="22"/>
          <w:szCs w:val="22"/>
        </w:rPr>
        <w:t xml:space="preserve"> </w:t>
      </w:r>
      <w:r w:rsidR="001C50D3">
        <w:rPr>
          <w:b/>
          <w:bCs/>
        </w:rPr>
        <w:t xml:space="preserve">dostawa </w:t>
      </w:r>
      <w:r w:rsidR="007C5845">
        <w:rPr>
          <w:b/>
          <w:bCs/>
        </w:rPr>
        <w:t>6</w:t>
      </w:r>
      <w:r w:rsidR="009F62F8">
        <w:rPr>
          <w:b/>
          <w:bCs/>
        </w:rPr>
        <w:t xml:space="preserve">szt. </w:t>
      </w:r>
      <w:r w:rsidR="007C5845">
        <w:rPr>
          <w:b/>
          <w:bCs/>
        </w:rPr>
        <w:t>tabletów 11”.</w:t>
      </w: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5400"/>
      </w:tblGrid>
      <w:tr w:rsidR="00D6689C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34E" w:rsidRPr="002A0A78" w:rsidRDefault="007C5845" w:rsidP="001C50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Tablet 11” </w:t>
            </w:r>
            <w:r w:rsidR="00EB45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="009F62F8">
              <w:rPr>
                <w:b/>
                <w:bCs/>
              </w:rPr>
              <w:t>szt.</w:t>
            </w:r>
            <w:r w:rsidR="001C50D3">
              <w:rPr>
                <w:b/>
                <w:bCs/>
              </w:rPr>
              <w:t xml:space="preserve"> </w:t>
            </w:r>
          </w:p>
          <w:p w:rsidR="00D6689C" w:rsidRDefault="00D8734E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w załączeniu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4B404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4B4044">
              <w:rPr>
                <w:color w:val="000000"/>
                <w:sz w:val="18"/>
                <w:szCs w:val="18"/>
              </w:rPr>
              <w:t>Do</w:t>
            </w:r>
            <w:r w:rsidR="002A0A78">
              <w:rPr>
                <w:color w:val="000000"/>
                <w:sz w:val="18"/>
                <w:szCs w:val="18"/>
              </w:rPr>
              <w:t xml:space="preserve"> </w:t>
            </w:r>
            <w:r w:rsidR="00EB45AE">
              <w:rPr>
                <w:color w:val="000000"/>
                <w:sz w:val="18"/>
                <w:szCs w:val="18"/>
              </w:rPr>
              <w:t>7</w:t>
            </w:r>
            <w:r w:rsidRPr="004B4044">
              <w:rPr>
                <w:color w:val="000000"/>
                <w:sz w:val="18"/>
                <w:szCs w:val="18"/>
              </w:rPr>
              <w:t xml:space="preserve">  </w:t>
            </w:r>
            <w:r w:rsidR="001C50D3">
              <w:rPr>
                <w:color w:val="000000"/>
                <w:sz w:val="18"/>
                <w:szCs w:val="18"/>
              </w:rPr>
              <w:t>dni</w:t>
            </w:r>
            <w:r w:rsidRPr="004B4044">
              <w:rPr>
                <w:color w:val="000000"/>
                <w:sz w:val="18"/>
                <w:szCs w:val="18"/>
              </w:rPr>
              <w:t xml:space="preserve"> od daty podpisania umowy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891A1F">
              <w:rPr>
                <w:sz w:val="20"/>
                <w:szCs w:val="16"/>
              </w:rPr>
              <w:t xml:space="preserve">24 </w:t>
            </w:r>
            <w:r w:rsidRPr="007B7A48">
              <w:rPr>
                <w:sz w:val="20"/>
                <w:szCs w:val="16"/>
              </w:rPr>
              <w:t>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przez okres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lat licząc od daty zakończenia okresu gwarancji . </w:t>
            </w:r>
          </w:p>
          <w:p w:rsidR="00D6689C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>
              <w:rPr>
                <w:color w:val="000000"/>
                <w:w w:val="90"/>
                <w:sz w:val="20"/>
                <w:szCs w:val="16"/>
              </w:rPr>
              <w:t>godzin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pełnym okresem gwarancji wynoszącym  </w:t>
            </w:r>
            <w:r w:rsidR="002A0A78" w:rsidRPr="007B7A48">
              <w:rPr>
                <w:sz w:val="20"/>
                <w:szCs w:val="16"/>
              </w:rPr>
              <w:t>min</w:t>
            </w:r>
            <w:r w:rsidR="00891A1F">
              <w:rPr>
                <w:sz w:val="20"/>
                <w:szCs w:val="16"/>
              </w:rPr>
              <w:t xml:space="preserve"> 24</w:t>
            </w:r>
            <w:r w:rsidR="002A0A78" w:rsidRPr="007B7A48">
              <w:rPr>
                <w:sz w:val="20"/>
                <w:szCs w:val="16"/>
              </w:rPr>
              <w:t xml:space="preserve"> miesięcy</w:t>
            </w:r>
            <w:r w:rsidR="00891A1F">
              <w:rPr>
                <w:sz w:val="20"/>
                <w:szCs w:val="16"/>
              </w:rPr>
              <w:t>.</w:t>
            </w:r>
          </w:p>
          <w:p w:rsidR="000C44E3" w:rsidRPr="000C44E3" w:rsidRDefault="000C44E3" w:rsidP="000C44E3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4B4044" w:rsidRPr="00C5230B" w:rsidRDefault="00F1121C" w:rsidP="004B4044">
      <w:pPr>
        <w:ind w:left="360" w:hanging="360"/>
        <w:jc w:val="both"/>
        <w:rPr>
          <w:sz w:val="18"/>
          <w:szCs w:val="18"/>
        </w:rPr>
      </w:pPr>
      <w:r w:rsidRPr="00C5230B">
        <w:rPr>
          <w:sz w:val="18"/>
          <w:szCs w:val="18"/>
        </w:rPr>
        <w:t>3.</w:t>
      </w:r>
      <w:r w:rsidR="004B4044" w:rsidRPr="00C5230B">
        <w:rPr>
          <w:sz w:val="18"/>
          <w:szCs w:val="18"/>
        </w:rPr>
        <w:t xml:space="preserve"> 2. Oferty wraz z wypełnioną specyfikacja techniczną należy składać: </w:t>
      </w:r>
    </w:p>
    <w:p w:rsidR="004B4044" w:rsidRPr="00C5230B" w:rsidRDefault="00BC5EBC" w:rsidP="004B4044">
      <w:pPr>
        <w:rPr>
          <w:sz w:val="18"/>
          <w:szCs w:val="18"/>
        </w:rPr>
      </w:pPr>
      <w:r>
        <w:rPr>
          <w:sz w:val="18"/>
          <w:szCs w:val="18"/>
        </w:rPr>
        <w:t>faksem  nr   71 / 784 00 30</w:t>
      </w:r>
      <w:r w:rsidR="004B4044" w:rsidRPr="00C5230B">
        <w:rPr>
          <w:b/>
          <w:sz w:val="18"/>
          <w:szCs w:val="18"/>
        </w:rPr>
        <w:t xml:space="preserve">   </w:t>
      </w:r>
      <w:r w:rsidR="004B4044" w:rsidRPr="00C5230B">
        <w:rPr>
          <w:sz w:val="18"/>
          <w:szCs w:val="18"/>
        </w:rPr>
        <w:t xml:space="preserve">lub  </w:t>
      </w:r>
      <w:r w:rsidR="004B4044" w:rsidRPr="00C5230B">
        <w:rPr>
          <w:b/>
          <w:sz w:val="18"/>
          <w:szCs w:val="18"/>
        </w:rPr>
        <w:t>formie PDF</w:t>
      </w:r>
      <w:r w:rsidR="004B4044" w:rsidRPr="00C5230B">
        <w:rPr>
          <w:sz w:val="18"/>
          <w:szCs w:val="18"/>
        </w:rPr>
        <w:t xml:space="preserve">  </w:t>
      </w:r>
      <w:r w:rsidR="00C5230B" w:rsidRPr="00C5230B">
        <w:rPr>
          <w:b/>
          <w:sz w:val="18"/>
          <w:szCs w:val="18"/>
        </w:rPr>
        <w:t>e-</w:t>
      </w:r>
      <w:r w:rsidR="004B4044" w:rsidRPr="00C5230B">
        <w:rPr>
          <w:b/>
          <w:sz w:val="18"/>
          <w:szCs w:val="18"/>
        </w:rPr>
        <w:t xml:space="preserve">mail  </w:t>
      </w:r>
      <w:r w:rsidR="001C50D3" w:rsidRPr="00C5230B">
        <w:rPr>
          <w:b/>
          <w:sz w:val="18"/>
          <w:szCs w:val="18"/>
        </w:rPr>
        <w:t>wojciech.piwnik</w:t>
      </w:r>
      <w:r w:rsidR="002A0A78" w:rsidRPr="00C5230B">
        <w:rPr>
          <w:b/>
          <w:sz w:val="18"/>
          <w:szCs w:val="18"/>
        </w:rPr>
        <w:t>@umed.wroc.pl</w:t>
      </w:r>
    </w:p>
    <w:p w:rsidR="004B4044" w:rsidRPr="00C5230B" w:rsidRDefault="004B4044" w:rsidP="004B4044">
      <w:pPr>
        <w:rPr>
          <w:b/>
          <w:sz w:val="18"/>
          <w:szCs w:val="18"/>
        </w:rPr>
      </w:pPr>
      <w:r w:rsidRPr="00C5230B">
        <w:rPr>
          <w:sz w:val="18"/>
          <w:szCs w:val="18"/>
        </w:rPr>
        <w:t xml:space="preserve">w terminie do dnia  </w:t>
      </w:r>
      <w:r w:rsidR="00EB45AE">
        <w:rPr>
          <w:sz w:val="18"/>
          <w:szCs w:val="18"/>
        </w:rPr>
        <w:t>0</w:t>
      </w:r>
      <w:r w:rsidR="007C5845">
        <w:rPr>
          <w:sz w:val="18"/>
          <w:szCs w:val="18"/>
        </w:rPr>
        <w:t>8</w:t>
      </w:r>
      <w:r w:rsidR="00BC5EBC">
        <w:rPr>
          <w:sz w:val="18"/>
          <w:szCs w:val="18"/>
        </w:rPr>
        <w:t>.10</w:t>
      </w:r>
      <w:r w:rsidR="00891A1F" w:rsidRPr="00C5230B">
        <w:rPr>
          <w:sz w:val="18"/>
          <w:szCs w:val="18"/>
        </w:rPr>
        <w:t>.2018</w:t>
      </w:r>
      <w:r w:rsidR="002A0A78" w:rsidRPr="00C5230B">
        <w:rPr>
          <w:sz w:val="18"/>
          <w:szCs w:val="18"/>
        </w:rPr>
        <w:t xml:space="preserve"> r do godz. 1</w:t>
      </w:r>
      <w:r w:rsidR="00737D25">
        <w:rPr>
          <w:sz w:val="18"/>
          <w:szCs w:val="18"/>
        </w:rPr>
        <w:t>0</w:t>
      </w:r>
      <w:r w:rsidR="002A0A78" w:rsidRPr="00C5230B">
        <w:rPr>
          <w:sz w:val="18"/>
          <w:szCs w:val="18"/>
        </w:rPr>
        <w:t>:00</w:t>
      </w:r>
    </w:p>
    <w:p w:rsidR="004B4044" w:rsidRPr="00C5230B" w:rsidRDefault="004B4044" w:rsidP="004B4044">
      <w:pPr>
        <w:jc w:val="both"/>
        <w:rPr>
          <w:b/>
          <w:sz w:val="18"/>
          <w:szCs w:val="18"/>
        </w:rPr>
      </w:pPr>
      <w:r w:rsidRPr="00C5230B">
        <w:rPr>
          <w:b/>
          <w:sz w:val="18"/>
          <w:szCs w:val="18"/>
        </w:rPr>
        <w:t>3. Kryteriami oceny ofert są:</w:t>
      </w:r>
    </w:p>
    <w:p w:rsidR="004B4044" w:rsidRPr="00C5230B" w:rsidRDefault="004B4044" w:rsidP="004B4044">
      <w:pPr>
        <w:rPr>
          <w:b/>
          <w:sz w:val="18"/>
          <w:szCs w:val="18"/>
        </w:rPr>
      </w:pPr>
      <w:r w:rsidRPr="00C5230B">
        <w:rPr>
          <w:b/>
          <w:sz w:val="18"/>
          <w:szCs w:val="18"/>
        </w:rPr>
        <w:t xml:space="preserve">Cena </w:t>
      </w:r>
      <w:r w:rsidR="009F62F8">
        <w:rPr>
          <w:b/>
          <w:sz w:val="18"/>
          <w:szCs w:val="18"/>
        </w:rPr>
        <w:t xml:space="preserve"> </w:t>
      </w:r>
      <w:r w:rsidRPr="00C5230B">
        <w:rPr>
          <w:b/>
          <w:sz w:val="18"/>
          <w:szCs w:val="18"/>
        </w:rPr>
        <w:t xml:space="preserve">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4B4044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4B4044" w:rsidRPr="00803F0A" w:rsidRDefault="004B4044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D6689C" w:rsidRDefault="00D6689C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F62F8" w:rsidRDefault="009F62F8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Zał. nr 1 – specyfikacja techniczna.</w:t>
      </w:r>
    </w:p>
    <w:p w:rsidR="009C68B2" w:rsidRDefault="009C68B2" w:rsidP="009C68B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BC5EBC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</w:p>
    <w:p w:rsidR="007C5845" w:rsidRDefault="007C5845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</w:p>
    <w:p w:rsidR="007C5845" w:rsidRPr="007C5845" w:rsidRDefault="007C5845" w:rsidP="007C5845">
      <w:pPr>
        <w:keepNext/>
        <w:numPr>
          <w:ilvl w:val="0"/>
          <w:numId w:val="8"/>
        </w:numPr>
        <w:tabs>
          <w:tab w:val="num" w:pos="284"/>
          <w:tab w:val="left" w:pos="1560"/>
        </w:tabs>
        <w:ind w:right="-567" w:hanging="644"/>
        <w:jc w:val="both"/>
        <w:outlineLvl w:val="1"/>
        <w:rPr>
          <w:rFonts w:ascii="Arial" w:hAnsi="Arial" w:cs="Arial"/>
          <w:b/>
          <w:bCs/>
          <w:sz w:val="20"/>
          <w:szCs w:val="20"/>
          <w:u w:val="single"/>
        </w:rPr>
      </w:pPr>
      <w:r w:rsidRPr="007C5845">
        <w:rPr>
          <w:rFonts w:ascii="Arial" w:hAnsi="Arial" w:cs="Arial"/>
          <w:b/>
          <w:bCs/>
          <w:sz w:val="20"/>
          <w:szCs w:val="20"/>
          <w:u w:val="single"/>
        </w:rPr>
        <w:t>Tablet 11” – 6szt.</w:t>
      </w:r>
    </w:p>
    <w:p w:rsidR="007C5845" w:rsidRPr="007C5845" w:rsidRDefault="007C5845" w:rsidP="007C5845">
      <w:pPr>
        <w:keepNext/>
        <w:tabs>
          <w:tab w:val="left" w:pos="1560"/>
        </w:tabs>
        <w:ind w:left="644" w:right="-567"/>
        <w:jc w:val="both"/>
        <w:outlineLvl w:val="1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5845" w:rsidRPr="007C5845" w:rsidRDefault="007C5845" w:rsidP="007C5845">
      <w:pPr>
        <w:keepNext/>
        <w:tabs>
          <w:tab w:val="left" w:pos="1560"/>
        </w:tabs>
        <w:ind w:left="644" w:right="-567"/>
        <w:jc w:val="both"/>
        <w:outlineLvl w:val="1"/>
        <w:rPr>
          <w:rFonts w:ascii="Arial" w:hAnsi="Arial" w:cs="Arial"/>
          <w:b/>
          <w:bCs/>
          <w:sz w:val="20"/>
          <w:szCs w:val="20"/>
          <w:u w:val="single"/>
        </w:rPr>
      </w:pPr>
    </w:p>
    <w:p w:rsidR="004371D2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Dostawa: </w:t>
      </w:r>
    </w:p>
    <w:p w:rsidR="004371D2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Uniwersytet Medyczny we Wrocławiu,</w:t>
      </w:r>
    </w:p>
    <w:p w:rsidR="004371D2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Dziekanat Wydziału Nauk o Zdrowiu</w:t>
      </w:r>
    </w:p>
    <w:p w:rsidR="004371D2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ul. Bartla 5</w:t>
      </w:r>
    </w:p>
    <w:p w:rsidR="004371D2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51-618 Wrocław</w:t>
      </w:r>
    </w:p>
    <w:p w:rsidR="004371D2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Tel. 71 784 18 05, 71 343 95 33</w:t>
      </w:r>
    </w:p>
    <w:p w:rsidR="007C5845" w:rsidRDefault="007C5845" w:rsidP="004371D2">
      <w:pPr>
        <w:keepNext/>
        <w:tabs>
          <w:tab w:val="left" w:pos="1560"/>
        </w:tabs>
        <w:ind w:right="-567"/>
        <w:jc w:val="both"/>
        <w:outlineLvl w:val="1"/>
        <w:rPr>
          <w:rFonts w:ascii="Arial" w:hAnsi="Arial" w:cs="Arial"/>
          <w:b/>
          <w:bCs/>
          <w:sz w:val="20"/>
          <w:szCs w:val="20"/>
          <w:u w:val="single"/>
        </w:rPr>
      </w:pPr>
    </w:p>
    <w:p w:rsidR="004371D2" w:rsidRPr="007C5845" w:rsidRDefault="004371D2" w:rsidP="004371D2">
      <w:pPr>
        <w:keepNext/>
        <w:tabs>
          <w:tab w:val="left" w:pos="1560"/>
        </w:tabs>
        <w:ind w:right="-567"/>
        <w:jc w:val="both"/>
        <w:outlineLvl w:val="1"/>
        <w:rPr>
          <w:rFonts w:ascii="Arial" w:hAnsi="Arial" w:cs="Arial"/>
          <w:b/>
          <w:bCs/>
          <w:sz w:val="20"/>
          <w:szCs w:val="20"/>
          <w:u w:val="single"/>
        </w:rPr>
      </w:pPr>
    </w:p>
    <w:p w:rsidR="004371D2" w:rsidRDefault="007C5845" w:rsidP="007C5845">
      <w:pPr>
        <w:keepNext/>
        <w:tabs>
          <w:tab w:val="left" w:pos="1560"/>
        </w:tabs>
        <w:ind w:right="-567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7C5845">
        <w:rPr>
          <w:rFonts w:ascii="Arial" w:hAnsi="Arial" w:cs="Arial"/>
          <w:b/>
          <w:bCs/>
          <w:sz w:val="20"/>
          <w:szCs w:val="20"/>
        </w:rPr>
        <w:t>Producent i model:</w:t>
      </w:r>
    </w:p>
    <w:p w:rsidR="004371D2" w:rsidRDefault="004371D2" w:rsidP="007C5845">
      <w:pPr>
        <w:keepNext/>
        <w:tabs>
          <w:tab w:val="left" w:pos="1560"/>
        </w:tabs>
        <w:ind w:right="-567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C5845" w:rsidRPr="007C5845" w:rsidRDefault="004371D2" w:rsidP="007C5845">
      <w:pPr>
        <w:keepNext/>
        <w:tabs>
          <w:tab w:val="left" w:pos="1560"/>
        </w:tabs>
        <w:ind w:right="-567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Apple</w:t>
      </w:r>
      <w:r w:rsidR="007C5845" w:rsidRPr="007C5845">
        <w:rPr>
          <w:rFonts w:ascii="Arial" w:hAnsi="Arial" w:cs="Arial"/>
          <w:b/>
          <w:bCs/>
          <w:sz w:val="20"/>
          <w:szCs w:val="20"/>
        </w:rPr>
        <w:t xml:space="preserve"> iPad Pro 11 cali lub równoważny o parametrach nie gorszych niż: </w:t>
      </w:r>
    </w:p>
    <w:p w:rsidR="007C5845" w:rsidRDefault="007C5845" w:rsidP="007C5845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C5845" w:rsidRPr="007C5845" w:rsidRDefault="007C5845" w:rsidP="007C5845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908"/>
        <w:gridCol w:w="3662"/>
      </w:tblGrid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Parametry graniczny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Parametr oferowany opisać</w:t>
            </w: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Procesor: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D53C9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Zgodny z A12X</w:t>
            </w:r>
            <w:r w:rsidR="00D53C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równoważny</w:t>
            </w:r>
            <w:r w:rsidR="00C923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m</w:t>
            </w:r>
            <w:r w:rsidR="00D53C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architekturą 64bit i koprocesorem ruchu M12</w:t>
            </w:r>
            <w:r w:rsidR="00D53C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równoważnym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Ekran: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Wyświetlacz o przekątnej maks. 11,00 cala z podświetleniem LED IPS, Multi-Touch.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Rozdzielczość min. 2388 na 1668 pikseli 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powłoka oleofobowa odporna na odciski palców, pełna laminacja wyświetlacza, powłoka antyodblaskowa, 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Jasność min. 600 nitów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Pamięć 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4371D2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64</w:t>
            </w:r>
            <w:r w:rsidR="007C5845"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GB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Komunikacja: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Bluetooth </w:t>
            </w:r>
            <w:r w:rsidR="00A77BE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737D25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Wi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 (802.11a/b/g/n/ac); dwa zakresy jednocześnie (2,4 GHz i 5 GHz); HT80 z technologią MIMO</w:t>
            </w:r>
            <w:r w:rsidR="00C923E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równoważną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UMTS/HSPA/HSPA+/DC-HSDPA (850, 900, 1700/2100, 1900, 2100 MHz); GSM/EDGE (850, 900, 1800, 1900 MHz)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LTE klasy Gigabit (modele A1934 i A1895: pasma 1, 2, 3, 4, 5, 7, 8, 11, 12, 13, 14, 17, 18, 19, 20, 21, 25, 26, 28, 29, 30, 34, 38, 39, 40, 41, 42, 46, 66)</w:t>
            </w:r>
            <w:r w:rsidR="00C923E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równoważnej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kasta SIM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Nano-SIM 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eSIM</w:t>
            </w:r>
            <w:bookmarkStart w:id="0" w:name="_GoBack"/>
            <w:bookmarkEnd w:id="0"/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Wejścia/wyjścia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Złącze USB-C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Smart Connector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Audio na cztery głośniki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Dwa mikrofony do rozmów oraz rejestrowania dźwięku i materiałów wideo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Wbudowana kamera: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Kamera min. 12 MP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Autofokus z funkcją Focus Pixels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Światło przysłony maks. ƒ/1,8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Lampa błyskowa z min. 4 diodami LED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Pięcioelementowy obiektyw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Tryb HDR dla zdjęć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Osłona obiektywu ze szkła szafirowego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Hybrydowy filtr IR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Matryca BSI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Wykrywanie twarzy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doskonalone lokalne mapowanie tonalne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Redukcja szumu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Kontrola ekspozycji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Panorama (do 63 MP)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Tryb zdjęć seryjnych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Ustawianie ostrości stuknięciem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Dodawanie geoznaczników do zdjęć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Tryb samowyzwalacza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Nagrywanie w jakości 4K (30 kl./s lub 60kl./s), 1080p (30 kl./s lub 60 kl./s), 720p (30 kl./s)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Wideo w zwolnionym tempie w jakości 1080p (120 kl./s), 720p (240 kl./s)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Wideo poklatkowe ze stabilizacją obrazu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Filmowa stabilizacja obrazu wideo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Wykrywanie twarzy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powiększenie obrazu podczas odtwarzania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Dodawanie geoznaczników do wideo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Czujniki: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Trzy-osiowy żyroskop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Przyspieszeniomierz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Czujnik oświetlenia zewnętrznego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Barometr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Telewizja i wideo: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Klonowanie AirPlay i przesyłanie zdjęć, dźwięku i wideo do urządzenia Klonowanie wideo i wyjście wideo: maksymalnie 4K przez wieloportową przejściówkę z USB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 na cyfrowe AV oraz wieloportową przejściówkę z USB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 na VGA (przejściówki sprzedawane oddzielnie)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Obsługiwane formaty wideo: wideo H.264 do 4K, 30 klatek na sekundę, High Profile, poziom 4.2 z dźwiękiem AAC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LC do 160 Kb/s, 48 kHz, dźwięk stereofoniczny lub Dolby Audio do 1008 Kb/s, 48 kHz, dźwięk stereofoniczny lub wielokanałowy w formatach .m4v, .mp4 i .mov; wideo MPEG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do 2,5 Mb/s, 640 na 480 pikseli, 30 klatek na sekundę, Simple Profile z dźwiękiem AAC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LC do 160 Kb/s na kanał, 48 kHz, dźwięk stereofoniczny lub Dolby Audio do 1008 Kb/s, 48 kHz, dźwięk stereofoniczny lub wielokanałowy w formatach .m4v, .mp4 i .mov; Motion JPEG (M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JPEG) do 35 Mb/s, 1280 na 720 pikseli, 30 klatek na sekundę, dźwięk w formacie ulaw, dźwięk stereofoniczny PCM w formacie .avi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Waga maks.: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470 g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Wymiary maks. :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Wysokość: 250mm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Szerokość: 180,00mm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Grubość: 6mm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Dźwięk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Obsługiwane formaty audio: AAC (od 8 do 320 Kb/s), Protected AAC, HE-AAC, MP3 (od 8 do 320 Kb/s), MP3 VBR, Dolby Digital (AC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3), Dolby Digital Plus (E-AC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3), Audible (formaty 2, 3 i 4, 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Audible Enhanced Audio, AAX I AAX+),  AIFF i WAV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Maksymalny poziom głośności konfigurowalny przez użytkownika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C5845" w:rsidRPr="007C5845" w:rsidTr="009E4DF7">
        <w:tc>
          <w:tcPr>
            <w:tcW w:w="1639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Zasilanie</w:t>
            </w:r>
          </w:p>
        </w:tc>
        <w:tc>
          <w:tcPr>
            <w:tcW w:w="3908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Wbudowany akumulator litowo-polimerowy o pojemności min 29,00 Wh,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10 godzin przeglądania internetu przez sieć Wi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Fi, oglądania filmów lub słuchania muzyki</w:t>
            </w: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Ładowanie przez zasilacz lub przewód USB</w:t>
            </w:r>
            <w:r w:rsidRPr="007C5845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‑</w:t>
            </w:r>
            <w:r w:rsidRPr="007C58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 podłączony do komputera</w:t>
            </w:r>
          </w:p>
        </w:tc>
        <w:tc>
          <w:tcPr>
            <w:tcW w:w="3662" w:type="dxa"/>
            <w:shd w:val="clear" w:color="auto" w:fill="auto"/>
          </w:tcPr>
          <w:p w:rsidR="007C5845" w:rsidRPr="007C5845" w:rsidRDefault="007C5845" w:rsidP="009E4DF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7C5845" w:rsidRPr="007C5845" w:rsidRDefault="007C5845" w:rsidP="007C5845">
      <w:pPr>
        <w:rPr>
          <w:rFonts w:ascii="Arial" w:hAnsi="Arial" w:cs="Arial"/>
        </w:rPr>
      </w:pP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2639"/>
        <w:gridCol w:w="1086"/>
        <w:gridCol w:w="2839"/>
      </w:tblGrid>
      <w:tr w:rsidR="00A77BEF" w:rsidRPr="00144AA8" w:rsidTr="00A77BEF">
        <w:trPr>
          <w:trHeight w:val="579"/>
        </w:trPr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EF" w:rsidRPr="00144AA8" w:rsidRDefault="00A77BEF" w:rsidP="00A77BEF">
            <w:pPr>
              <w:ind w:left="-140" w:firstLine="1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netto PLN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7BEF" w:rsidRPr="00144AA8" w:rsidRDefault="00A77BEF" w:rsidP="008E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jednostkowa </w:t>
            </w:r>
            <w:r w:rsidRPr="00144AA8">
              <w:rPr>
                <w:rFonts w:ascii="Arial" w:hAnsi="Arial" w:cs="Arial"/>
                <w:sz w:val="16"/>
                <w:szCs w:val="16"/>
              </w:rPr>
              <w:t>brutto</w:t>
            </w:r>
            <w:r>
              <w:rPr>
                <w:rFonts w:ascii="Arial" w:hAnsi="Arial" w:cs="Arial"/>
                <w:sz w:val="16"/>
                <w:szCs w:val="16"/>
              </w:rPr>
              <w:t xml:space="preserve"> PLN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7BEF" w:rsidRPr="00144AA8" w:rsidRDefault="00A77BEF" w:rsidP="008E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AA8">
              <w:rPr>
                <w:rFonts w:ascii="Arial" w:hAnsi="Arial" w:cs="Arial"/>
                <w:sz w:val="16"/>
                <w:szCs w:val="16"/>
              </w:rPr>
              <w:t>Ilość</w:t>
            </w:r>
            <w:r w:rsidRPr="00144AA8">
              <w:rPr>
                <w:rFonts w:ascii="Arial" w:hAnsi="Arial" w:cs="Arial"/>
                <w:sz w:val="16"/>
                <w:szCs w:val="16"/>
              </w:rPr>
              <w:br/>
              <w:t>szt.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7BEF" w:rsidRPr="00144AA8" w:rsidRDefault="00A77BEF" w:rsidP="008E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brutto PLN</w:t>
            </w:r>
          </w:p>
        </w:tc>
      </w:tr>
      <w:tr w:rsidR="00A77BEF" w:rsidRPr="00144AA8" w:rsidTr="00A77BEF">
        <w:trPr>
          <w:trHeight w:val="495"/>
        </w:trPr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EF" w:rsidRPr="00144AA8" w:rsidRDefault="00A77BEF" w:rsidP="008E7E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EF" w:rsidRPr="00144AA8" w:rsidRDefault="00A77BEF" w:rsidP="008E7E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77BEF" w:rsidRDefault="00A77BEF" w:rsidP="008E7E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7BEF" w:rsidRPr="00144AA8" w:rsidRDefault="00A77BEF" w:rsidP="008E7E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7BEF" w:rsidRPr="00144AA8" w:rsidRDefault="00A77BEF" w:rsidP="008E7E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C5EBC" w:rsidRDefault="00BC5EBC" w:rsidP="00BC5EBC">
      <w:pPr>
        <w:rPr>
          <w:rFonts w:ascii="Arial" w:hAnsi="Arial" w:cs="Arial"/>
        </w:rPr>
      </w:pPr>
    </w:p>
    <w:p w:rsidR="00A77BEF" w:rsidRDefault="00A77BEF" w:rsidP="00BC5EBC">
      <w:pPr>
        <w:rPr>
          <w:rFonts w:ascii="Arial" w:hAnsi="Arial" w:cs="Arial"/>
        </w:rPr>
      </w:pPr>
    </w:p>
    <w:p w:rsidR="00A77BEF" w:rsidRPr="007C5845" w:rsidRDefault="00A77BEF" w:rsidP="00BC5EBC">
      <w:pPr>
        <w:rPr>
          <w:rFonts w:ascii="Arial" w:hAnsi="Arial" w:cs="Arial"/>
        </w:rPr>
      </w:pPr>
    </w:p>
    <w:p w:rsidR="00B26D9F" w:rsidRPr="007C5845" w:rsidRDefault="00B26D9F" w:rsidP="00B26D9F">
      <w:pPr>
        <w:pStyle w:val="Tekstpodstawowywcity2"/>
        <w:spacing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7C5845">
        <w:rPr>
          <w:rFonts w:ascii="Arial" w:hAnsi="Arial" w:cs="Arial"/>
          <w:sz w:val="22"/>
          <w:szCs w:val="22"/>
        </w:rPr>
        <w:t>Data</w:t>
      </w:r>
      <w:r w:rsidRPr="007C5845">
        <w:rPr>
          <w:rFonts w:ascii="Arial" w:hAnsi="Arial" w:cs="Arial"/>
          <w:sz w:val="22"/>
          <w:szCs w:val="22"/>
        </w:rPr>
        <w:tab/>
        <w:t>Podpisy osób uprawnionych do składania</w:t>
      </w:r>
      <w:r w:rsidRPr="007C5845">
        <w:rPr>
          <w:rFonts w:ascii="Arial" w:hAnsi="Arial" w:cs="Arial"/>
          <w:sz w:val="22"/>
          <w:szCs w:val="22"/>
        </w:rPr>
        <w:br/>
        <w:t xml:space="preserve">oświadczeń woli w imieniu wykonawcy   </w:t>
      </w:r>
    </w:p>
    <w:p w:rsidR="009C68B2" w:rsidRDefault="009C68B2" w:rsidP="00BC5EBC">
      <w:pPr>
        <w:spacing w:after="200" w:line="276" w:lineRule="auto"/>
        <w:rPr>
          <w:color w:val="000000"/>
          <w:sz w:val="28"/>
          <w:szCs w:val="28"/>
        </w:rPr>
      </w:pPr>
    </w:p>
    <w:sectPr w:rsidR="009C68B2" w:rsidSect="00C11162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DB" w:rsidRDefault="005111DB" w:rsidP="00BC5EBC">
      <w:r>
        <w:separator/>
      </w:r>
    </w:p>
  </w:endnote>
  <w:endnote w:type="continuationSeparator" w:id="0">
    <w:p w:rsidR="005111DB" w:rsidRDefault="005111DB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35758044"/>
      <w:docPartObj>
        <w:docPartGallery w:val="Page Numbers (Bottom of Page)"/>
        <w:docPartUnique/>
      </w:docPartObj>
    </w:sdtPr>
    <w:sdtEndPr/>
    <w:sdtContent>
      <w:p w:rsidR="00BC5EBC" w:rsidRDefault="00BC5EB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923E9" w:rsidRPr="00C923E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5EBC" w:rsidRDefault="00BC5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DB" w:rsidRDefault="005111DB" w:rsidP="00BC5EBC">
      <w:r>
        <w:separator/>
      </w:r>
    </w:p>
  </w:footnote>
  <w:footnote w:type="continuationSeparator" w:id="0">
    <w:p w:rsidR="005111DB" w:rsidRDefault="005111DB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869E6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C73"/>
    <w:multiLevelType w:val="hybridMultilevel"/>
    <w:tmpl w:val="FC68ECFE"/>
    <w:lvl w:ilvl="0" w:tplc="E118D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1464"/>
    <w:multiLevelType w:val="hybridMultilevel"/>
    <w:tmpl w:val="F2AA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360A6"/>
    <w:rsid w:val="000B28E2"/>
    <w:rsid w:val="000C44E3"/>
    <w:rsid w:val="0010121D"/>
    <w:rsid w:val="00116022"/>
    <w:rsid w:val="00127310"/>
    <w:rsid w:val="00193A70"/>
    <w:rsid w:val="001C50D3"/>
    <w:rsid w:val="00240AF7"/>
    <w:rsid w:val="002744F6"/>
    <w:rsid w:val="002A0A78"/>
    <w:rsid w:val="002D4BD1"/>
    <w:rsid w:val="003E4E5B"/>
    <w:rsid w:val="004371D2"/>
    <w:rsid w:val="004B4044"/>
    <w:rsid w:val="004C1703"/>
    <w:rsid w:val="005111DB"/>
    <w:rsid w:val="00521B6C"/>
    <w:rsid w:val="00550CCD"/>
    <w:rsid w:val="006102F5"/>
    <w:rsid w:val="00621922"/>
    <w:rsid w:val="007239E4"/>
    <w:rsid w:val="00737D25"/>
    <w:rsid w:val="00777419"/>
    <w:rsid w:val="007B7A48"/>
    <w:rsid w:val="007C0E55"/>
    <w:rsid w:val="007C5845"/>
    <w:rsid w:val="007C5F35"/>
    <w:rsid w:val="00813109"/>
    <w:rsid w:val="0081607E"/>
    <w:rsid w:val="00891A1F"/>
    <w:rsid w:val="00892C20"/>
    <w:rsid w:val="009B4FC9"/>
    <w:rsid w:val="009C48A4"/>
    <w:rsid w:val="009C68B2"/>
    <w:rsid w:val="009F62F8"/>
    <w:rsid w:val="00A022A2"/>
    <w:rsid w:val="00A14D93"/>
    <w:rsid w:val="00A77BEF"/>
    <w:rsid w:val="00AB293B"/>
    <w:rsid w:val="00B11723"/>
    <w:rsid w:val="00B26D9F"/>
    <w:rsid w:val="00B530AE"/>
    <w:rsid w:val="00B952A3"/>
    <w:rsid w:val="00BC5EBC"/>
    <w:rsid w:val="00C11162"/>
    <w:rsid w:val="00C5230B"/>
    <w:rsid w:val="00C923E9"/>
    <w:rsid w:val="00CA0D9A"/>
    <w:rsid w:val="00CF3DF7"/>
    <w:rsid w:val="00D1288D"/>
    <w:rsid w:val="00D12A61"/>
    <w:rsid w:val="00D16937"/>
    <w:rsid w:val="00D44C6C"/>
    <w:rsid w:val="00D53C9C"/>
    <w:rsid w:val="00D6689C"/>
    <w:rsid w:val="00D8734E"/>
    <w:rsid w:val="00D87B6F"/>
    <w:rsid w:val="00E15251"/>
    <w:rsid w:val="00E220D7"/>
    <w:rsid w:val="00E94F7B"/>
    <w:rsid w:val="00EB45AE"/>
    <w:rsid w:val="00EF500F"/>
    <w:rsid w:val="00F1121C"/>
    <w:rsid w:val="00F16FC2"/>
    <w:rsid w:val="00F232B7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68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6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mscreendetailfilter1148">
    <w:name w:val="param_screendetailfilter_1148"/>
    <w:basedOn w:val="Domylnaczcionkaakapitu"/>
    <w:rsid w:val="009C68B2"/>
  </w:style>
  <w:style w:type="character" w:customStyle="1" w:styleId="paramscreendetailfilter364295">
    <w:name w:val="param_screendetailfilter_364295"/>
    <w:basedOn w:val="Domylnaczcionkaakapitu"/>
    <w:rsid w:val="009C68B2"/>
  </w:style>
  <w:style w:type="character" w:customStyle="1" w:styleId="paramscreendetailfilter471900">
    <w:name w:val="param_screendetailfilter_471900"/>
    <w:basedOn w:val="Domylnaczcionkaakapitu"/>
    <w:rsid w:val="009C68B2"/>
  </w:style>
  <w:style w:type="character" w:customStyle="1" w:styleId="paramconnectionsfilter471902">
    <w:name w:val="param_connectionsfilter_471902"/>
    <w:basedOn w:val="Domylnaczcionkaakapitu"/>
    <w:rsid w:val="009C68B2"/>
  </w:style>
  <w:style w:type="character" w:customStyle="1" w:styleId="paramdimensionsfilter474419">
    <w:name w:val="param_dimensionsfilter_474419"/>
    <w:basedOn w:val="Domylnaczcionkaakapitu"/>
    <w:rsid w:val="009C68B2"/>
  </w:style>
  <w:style w:type="paragraph" w:styleId="Nagwek">
    <w:name w:val="header"/>
    <w:basedOn w:val="Normalny"/>
    <w:link w:val="Nagwek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E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EB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1</TotalTime>
  <Pages>4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7309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Monika</cp:lastModifiedBy>
  <cp:revision>2</cp:revision>
  <cp:lastPrinted>2016-05-05T10:49:00Z</cp:lastPrinted>
  <dcterms:created xsi:type="dcterms:W3CDTF">2019-03-05T11:24:00Z</dcterms:created>
  <dcterms:modified xsi:type="dcterms:W3CDTF">2019-03-05T11:24:00Z</dcterms:modified>
</cp:coreProperties>
</file>