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BA" w:rsidRDefault="002A08BA" w:rsidP="004C21AF">
      <w:pPr>
        <w:tabs>
          <w:tab w:val="left" w:pos="9498"/>
        </w:tabs>
        <w:suppressAutoHyphens/>
        <w:kinsoku w:val="0"/>
        <w:overflowPunct w:val="0"/>
        <w:spacing w:after="0" w:line="240" w:lineRule="auto"/>
        <w:jc w:val="right"/>
        <w:rPr>
          <w:rFonts w:ascii="Myriand pro" w:eastAsia="Times New Roman" w:hAnsi="Myriand pro" w:cs="Times New Roman"/>
          <w:bCs/>
          <w:sz w:val="20"/>
          <w:szCs w:val="20"/>
          <w:lang w:eastAsia="ar-SA"/>
        </w:rPr>
      </w:pPr>
      <w:bookmarkStart w:id="0" w:name="_GoBack"/>
      <w:bookmarkEnd w:id="0"/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572753" w:rsidRPr="00572753" w:rsidRDefault="00E8269E" w:rsidP="00E826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firstLine="5103"/>
        <w:jc w:val="center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bookmarkStart w:id="1" w:name="_Hlk135036038"/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                           </w:t>
      </w:r>
      <w:r w:rsidR="00572753"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Załącznik </w:t>
      </w:r>
      <w:r w:rsidR="00564F0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nr 1</w:t>
      </w:r>
      <w:r w:rsidR="00A446B1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do Uchwały nr 2665</w:t>
      </w:r>
    </w:p>
    <w:p w:rsidR="00572753" w:rsidRPr="00572753" w:rsidRDefault="00572753" w:rsidP="00E826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jc w:val="right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Senatu Uniwersytetu Medycznego im. Piastów Śląskich </w:t>
      </w:r>
      <w:r w:rsidR="00E8269E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br/>
      </w: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we Wrocławiu</w:t>
      </w:r>
      <w:r w:rsidR="00564F0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 dnia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</w:t>
      </w:r>
      <w:r w:rsidR="00802925"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7</w:t>
      </w:r>
      <w:r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listopada 202</w:t>
      </w:r>
      <w:r w:rsidR="00A54DB3"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4</w:t>
      </w:r>
      <w:r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roku</w:t>
      </w:r>
    </w:p>
    <w:bookmarkEnd w:id="1"/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2A08BA">
      <w:pPr>
        <w:spacing w:after="0" w:line="240" w:lineRule="auto"/>
        <w:jc w:val="center"/>
        <w:rPr>
          <w:rFonts w:ascii="Myriand pro" w:eastAsia="Calibri" w:hAnsi="Myriand pro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79B2C5" wp14:editId="0ECBF148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Szkoły Doktorskiej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Szkoła Doktorska</w:t>
      </w: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</w:t>
      </w:r>
      <w:r w:rsidR="00615F11">
        <w:rPr>
          <w:rFonts w:ascii="Times New Roman" w:hAnsi="Times New Roman"/>
          <w:b/>
          <w:sz w:val="24"/>
          <w:szCs w:val="24"/>
        </w:rPr>
        <w:t>a</w:t>
      </w:r>
    </w:p>
    <w:p w:rsidR="002A08BA" w:rsidRPr="00921C99" w:rsidRDefault="002A08BA" w:rsidP="002A0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Cykl kształcenia: </w:t>
      </w:r>
      <w:r w:rsidRPr="00802925">
        <w:rPr>
          <w:rFonts w:ascii="Times New Roman" w:hAnsi="Times New Roman"/>
          <w:b/>
          <w:sz w:val="24"/>
          <w:szCs w:val="24"/>
        </w:rPr>
        <w:t>202</w:t>
      </w:r>
      <w:r w:rsidR="00A54DB3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A54DB3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 xml:space="preserve"> – 202</w:t>
      </w:r>
      <w:r w:rsidR="00A54DB3" w:rsidRPr="00802925">
        <w:rPr>
          <w:rFonts w:ascii="Times New Roman" w:hAnsi="Times New Roman"/>
          <w:b/>
          <w:sz w:val="24"/>
          <w:szCs w:val="24"/>
        </w:rPr>
        <w:t>8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A54DB3" w:rsidRPr="00802925">
        <w:rPr>
          <w:rFonts w:ascii="Times New Roman" w:hAnsi="Times New Roman"/>
          <w:b/>
          <w:sz w:val="24"/>
          <w:szCs w:val="24"/>
        </w:rPr>
        <w:t>9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144840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b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342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Program kształcenia w Szkole Doktorskiej prowadzonej przez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Uniwersytet Medyczny im. Piastów Śląskich we Wrocławiu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(kształcenie polskojęzyczne)</w:t>
      </w:r>
    </w:p>
    <w:p w:rsidR="00144840" w:rsidRPr="00144840" w:rsidRDefault="00144840" w:rsidP="00144840">
      <w:pPr>
        <w:spacing w:after="0" w:line="341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 xml:space="preserve">obowiązujący od roku akademickiego </w:t>
      </w:r>
      <w:r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202</w:t>
      </w:r>
      <w:r w:rsidR="00A54DB3"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5</w:t>
      </w:r>
      <w:r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/202</w:t>
      </w:r>
      <w:r w:rsidR="00A54DB3"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6</w:t>
      </w: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600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I. Ogólna charakterystyka programu kształcenia</w:t>
      </w:r>
    </w:p>
    <w:p w:rsidR="00144840" w:rsidRPr="00144840" w:rsidRDefault="00144840" w:rsidP="00144840">
      <w:pPr>
        <w:spacing w:after="0" w:line="300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1</w:t>
      </w:r>
    </w:p>
    <w:p w:rsidR="00144840" w:rsidRPr="00144840" w:rsidRDefault="00144840" w:rsidP="004C21AF">
      <w:pPr>
        <w:numPr>
          <w:ilvl w:val="0"/>
          <w:numId w:val="1"/>
        </w:numPr>
        <w:tabs>
          <w:tab w:val="left" w:pos="360"/>
          <w:tab w:val="left" w:pos="9356"/>
        </w:tabs>
        <w:spacing w:after="0" w:line="229" w:lineRule="auto"/>
        <w:ind w:left="360" w:right="142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Szkoła Doktorska prowadzona przez Uniwersytet Medyczny im. Piastów Śląskich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we Wrocławiu jest zorganizowaną formą kształcenia doktorantów w dziedzinie nauk medycznych i nauk o zdrowiu, w dyscyplinach naukowych: nauki medyczne, nauki farmaceutyczne, nauki o zdrowiu.</w:t>
      </w:r>
    </w:p>
    <w:p w:rsidR="00144840" w:rsidRPr="00144840" w:rsidRDefault="00144840" w:rsidP="00144840">
      <w:pPr>
        <w:spacing w:after="0" w:line="9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Kształcenie w Szkole Doktorskiej: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przygotowuje do 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odbywa się w trybie stacjonarnym;</w:t>
      </w: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w języku polskim;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trwa 8 semestrów i kończy się złożeniem rozprawy doktorskiej;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na podstawie programu kształcenia oraz indywidualnego planu badawczego.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2</w:t>
      </w:r>
    </w:p>
    <w:p w:rsidR="00144840" w:rsidRPr="00144840" w:rsidRDefault="00144840" w:rsidP="004C21AF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Program kształcenia w Szkole Doktorskiej jest zgodny z misją Uniwersytetu Medycznego </w:t>
      </w:r>
      <w:r w:rsidR="00EA26C9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im. Piastów Śląskich we Wrocławiu i został opracowany w oparciu o jej główne idee: odkrywanie i przekazywanie prawdy poprzez badania naukowe prowadzone na najwyższym światowym poziomie, w zakresie szeroko rozumianych nauk o życiu, kształcenie kadr medycznych z wykorzystaniem nowoczesnych metod nauczania oraz współpraca </w:t>
      </w:r>
      <w:r w:rsidR="00EA26C9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współuczestniczenie w rozwoju systemu ochrony zdrowia w regionie i w całym kraju.</w:t>
      </w:r>
    </w:p>
    <w:p w:rsidR="00144840" w:rsidRPr="00144840" w:rsidRDefault="00144840" w:rsidP="00144840">
      <w:pPr>
        <w:spacing w:after="0" w:line="66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3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3</w:t>
      </w:r>
    </w:p>
    <w:p w:rsidR="00144840" w:rsidRPr="00144840" w:rsidRDefault="00144840" w:rsidP="00144840">
      <w:pPr>
        <w:numPr>
          <w:ilvl w:val="1"/>
          <w:numId w:val="3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Program kształcenia w Szkole Doktorskiej prowadzonej przez Uniwersytet Medyczny im. Piastów Śląskich we Wrocławiu przygotowuje doktoranta do: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pracy o charakterze badawczo-rozwojowym i dydaktycznym;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samodzielnego planowania własnego rozwoju naukowego (w tym do pozyskania środków finansowych na badania);</w:t>
      </w: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uczestniczenia w wymianie doświadczeń naukowych i idei, także w środowisku międzynarodowym.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5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Doktorant w ramach Szkoły Doktorskiej prowadzi samodzielnie badania naukowe, których efektem są w szczególności: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5"/>
        </w:numPr>
        <w:tabs>
          <w:tab w:val="left" w:pos="780"/>
          <w:tab w:val="left" w:pos="6804"/>
        </w:tabs>
        <w:spacing w:after="0" w:line="0" w:lineRule="atLeast"/>
        <w:ind w:left="709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publikacje naukowe;</w:t>
      </w: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2" w:name="page2"/>
      <w:bookmarkEnd w:id="2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uczestnictwo w projektach badawczych;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przygotowanie własnych aplikacji grantowych;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udział w konferencjach naukowych;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rozprawa doktorska przygotowana pod kierunkiem naukowym promotora.</w:t>
      </w:r>
    </w:p>
    <w:p w:rsidR="00144840" w:rsidRPr="00144840" w:rsidRDefault="00144840" w:rsidP="00144840">
      <w:pPr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br w:type="page"/>
      </w:r>
    </w:p>
    <w:p w:rsidR="00144840" w:rsidRPr="00144840" w:rsidRDefault="00144840" w:rsidP="00144840">
      <w:pPr>
        <w:spacing w:after="0" w:line="0" w:lineRule="atLeast"/>
        <w:ind w:left="3900" w:right="137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II. Efekty uczenia się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6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4</w:t>
      </w: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33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programu kształcenia w Szkole Doktorskiej prowadzi do osiągnięcia efektów uczenia się dla kwalifikacji na poziomie 8 Polskiej Ramy Kwalifikacji, określonych na podstawie ustawy z dnia 22 grudnia 2015 r. o Zintegrowanym Systemie Kwalifikacji (</w:t>
      </w:r>
      <w:proofErr w:type="spellStart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t.j</w:t>
      </w:r>
      <w:proofErr w:type="spellEnd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.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Dz. U. 2018 r., poz. 2153 z późn.zm.) oraz przepisów wydanych na podstawie art. 7 ust. 3 tej ustawy.</w:t>
      </w:r>
    </w:p>
    <w:p w:rsidR="00144840" w:rsidRPr="00144840" w:rsidRDefault="00144840" w:rsidP="00144840">
      <w:pPr>
        <w:spacing w:after="0" w:line="62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21" w:lineRule="auto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odnoszą się do następujących dyscyplin naukowych: nauki medyczne, nauki farmaceutyczne, nauki o zdrowiu.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0" w:lineRule="atLeast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Opis zakładanych efektów uczenia się:</w:t>
      </w:r>
    </w:p>
    <w:p w:rsidR="00144840" w:rsidRPr="00144840" w:rsidRDefault="00144840" w:rsidP="00144840">
      <w:pPr>
        <w:spacing w:after="0" w:line="2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29"/>
        <w:gridCol w:w="5228"/>
      </w:tblGrid>
      <w:tr w:rsidR="00144840" w:rsidRPr="00144840" w:rsidTr="00D30260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left="140"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Kategorie opisowe </w:t>
            </w:r>
            <w:r w:rsidRPr="00144840">
              <w:rPr>
                <w:rFonts w:ascii="Myriand pro" w:eastAsia="Calibri" w:hAnsi="Myriand pro" w:cs="Times New Roman"/>
                <w:lang w:eastAsia="pl-PL"/>
              </w:rPr>
              <w:t>–</w:t>
            </w: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Charakterystyka drugiego stopnia efektów uczenia się dla kwalifikacji na poziomie 8 Polskiej Ramy Kwalifikacji</w:t>
            </w:r>
          </w:p>
        </w:tc>
      </w:tr>
      <w:tr w:rsidR="00144840" w:rsidRPr="00144840" w:rsidTr="00D30260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WIEDZA (Absolwent zna i rozumie):</w:t>
            </w:r>
          </w:p>
        </w:tc>
      </w:tr>
      <w:tr w:rsidR="00144840" w:rsidRPr="00144840" w:rsidTr="00D30260">
        <w:trPr>
          <w:trHeight w:val="268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jc w:val="both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metodologię badań naukowych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44840" w:rsidRPr="00144840" w:rsidTr="00D30260">
        <w:trPr>
          <w:trHeight w:val="2020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Kontekst /</w:t>
            </w: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fundamentalne dylematy współczesnej cywilizacji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b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UMIEJĘTNOŚCI (Absolwent potrafi):</w:t>
            </w:r>
          </w:p>
        </w:tc>
      </w:tr>
      <w:tr w:rsidR="00144840" w:rsidRPr="00144840" w:rsidTr="00D30260">
        <w:trPr>
          <w:trHeight w:val="4175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144840" w:rsidRPr="00144840" w:rsidRDefault="00144840" w:rsidP="00144840">
            <w:pPr>
              <w:numPr>
                <w:ilvl w:val="0"/>
                <w:numId w:val="19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144840">
              <w:rPr>
                <w:rFonts w:ascii="Myriand pro" w:eastAsia="Calibri" w:hAnsi="Myriand pro" w:cs="Times New Roman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44840" w:rsidRPr="00144840" w:rsidTr="00D30260">
        <w:trPr>
          <w:trHeight w:val="3251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lastRenderedPageBreak/>
              <w:t>Komunikowanie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się / odbieranie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tworzenie wypowiedzi,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upowszechnianie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wiedzy w środowisku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naukowym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posługiwanie się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upowszechniać wyniki działalności naukowej, także w formach popularnych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inicjować debatę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uczestniczyć w dyskursie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44840" w:rsidRPr="00144840" w:rsidTr="00D30260">
        <w:trPr>
          <w:trHeight w:val="99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Organizacja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pracy/ planowanie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00" w:right="137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44840" w:rsidRPr="00144840" w:rsidTr="00D30260">
        <w:trPr>
          <w:trHeight w:val="1206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Uczenie się /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planowanie</w:t>
            </w:r>
          </w:p>
          <w:p w:rsidR="00144840" w:rsidRPr="00144840" w:rsidRDefault="00144840" w:rsidP="00144840">
            <w:pPr>
              <w:spacing w:after="0" w:line="214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własnego rozwoju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KOMPETENCJE SPOŁECZNE (Absolwent jest gotów do):</w:t>
            </w:r>
          </w:p>
        </w:tc>
      </w:tr>
      <w:tr w:rsidR="00144840" w:rsidRPr="00144840" w:rsidTr="00D30260">
        <w:trPr>
          <w:trHeight w:val="161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Oceny / krytyczne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krytycznej oceny dorobku w ramach danej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krytycznej oceny własnego wkładu w rozwój danej dyscypliny naukowej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44840" w:rsidRPr="00144840" w:rsidTr="00D30260">
        <w:trPr>
          <w:trHeight w:val="170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Odpowiedzialność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/ wypełnianie</w:t>
            </w:r>
          </w:p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zobowiązań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społecznych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działanie na rzecz interesu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wypełniania zobowiązań społecznych badaczy i twórców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inicjowania działań na rzecz interesu publicznego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myślenia i działania w sposób przedsiębiorczy</w:t>
            </w:r>
          </w:p>
        </w:tc>
      </w:tr>
      <w:tr w:rsidR="00144840" w:rsidRPr="00144840" w:rsidTr="00D30260">
        <w:trPr>
          <w:trHeight w:val="1592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Rola zawodowa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/ niezależność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4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144840" w:rsidRPr="00144840" w:rsidRDefault="00144840" w:rsidP="00144840">
            <w:pPr>
              <w:spacing w:after="0" w:line="0" w:lineRule="atLeast"/>
              <w:ind w:left="260" w:right="137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</w:p>
        </w:tc>
      </w:tr>
    </w:tbl>
    <w:p w:rsidR="00144840" w:rsidRPr="00144840" w:rsidRDefault="00144840" w:rsidP="00144840">
      <w:pPr>
        <w:spacing w:after="0" w:line="240" w:lineRule="auto"/>
        <w:ind w:right="137"/>
        <w:rPr>
          <w:rFonts w:ascii="Myriand pro" w:eastAsia="Calibri" w:hAnsi="Myriand pro" w:cs="Times New Roman"/>
          <w:w w:val="73"/>
          <w:sz w:val="16"/>
          <w:szCs w:val="20"/>
          <w:lang w:eastAsia="pl-PL"/>
        </w:rPr>
      </w:pPr>
    </w:p>
    <w:p w:rsidR="00144840" w:rsidRPr="00144840" w:rsidRDefault="00144840" w:rsidP="00144840">
      <w:pPr>
        <w:spacing w:after="0" w:line="5" w:lineRule="exact"/>
        <w:ind w:right="137"/>
        <w:rPr>
          <w:rFonts w:ascii="Myriand pro" w:eastAsia="Times New Roman" w:hAnsi="Myriand pro" w:cs="Times New Roman"/>
          <w:sz w:val="24"/>
          <w:szCs w:val="24"/>
          <w:lang w:eastAsia="pl-PL"/>
        </w:rPr>
      </w:pPr>
      <w:bookmarkStart w:id="3" w:name="page3"/>
      <w:bookmarkEnd w:id="3"/>
    </w:p>
    <w:p w:rsidR="00144840" w:rsidRPr="00144840" w:rsidRDefault="00144840" w:rsidP="00144840">
      <w:pPr>
        <w:numPr>
          <w:ilvl w:val="2"/>
          <w:numId w:val="8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5</w:t>
      </w:r>
    </w:p>
    <w:p w:rsidR="00144840" w:rsidRPr="00144840" w:rsidRDefault="00144840" w:rsidP="00144840">
      <w:pPr>
        <w:numPr>
          <w:ilvl w:val="0"/>
          <w:numId w:val="8"/>
        </w:numPr>
        <w:tabs>
          <w:tab w:val="left" w:pos="300"/>
        </w:tabs>
        <w:spacing w:after="0" w:line="221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4" w:name="page4"/>
      <w:bookmarkEnd w:id="4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zaliczeń bez oceny. Formę weryfikacji efektów uczenia się w ramach danego przedmiotu określa plan realizacji efektów uczenia się.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9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Egzaminy i zaliczenia mogą mieć formę pisemnych lub ustnych sprawdzianów wiedzy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umiejętności. Zaliczenie zajęć może odbywać się na podstawie pisemnych prac zaliczeniowych, projektów multimedialnych lub prezentacji.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1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osiągane przez doktoranta weryfikuje się także poprzez ocenę realizacji indywidualnego planu badawczego (ocena śródokresowa).</w:t>
      </w:r>
    </w:p>
    <w:p w:rsidR="00144840" w:rsidRPr="00144840" w:rsidRDefault="00144840" w:rsidP="00144840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 w:type="page"/>
      </w: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Ogólne warunki realizacji programu kształcenia</w:t>
      </w:r>
    </w:p>
    <w:p w:rsidR="00144840" w:rsidRPr="00144840" w:rsidRDefault="00144840" w:rsidP="00144840">
      <w:pPr>
        <w:numPr>
          <w:ilvl w:val="3"/>
          <w:numId w:val="9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6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426"/>
        </w:tabs>
        <w:spacing w:after="0" w:line="235" w:lineRule="auto"/>
        <w:ind w:left="426" w:right="137" w:hanging="24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realizuje praktyki zawodowe w formie prowadzenia zajęć dydaktycznych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ze studentami lub uczestniczenia w ich prowadzeniu w wymiarze 60 godzin dydaktycznych rocznie.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354"/>
        </w:tabs>
        <w:spacing w:after="0" w:line="235" w:lineRule="auto"/>
        <w:ind w:left="426" w:right="137" w:hanging="28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Szczegółowy plan praktyk przygotowuje jednostka, w której doktorant realizuje swoje kształcenie. Plan nie może kolidować z obowiązującym harmonogramem zajęć, w których uczestniczy doktorant w danym roku akademickim.</w:t>
      </w:r>
    </w:p>
    <w:p w:rsidR="00144840" w:rsidRPr="00144840" w:rsidRDefault="00144840" w:rsidP="00144840">
      <w:pPr>
        <w:spacing w:after="0" w:line="65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10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7</w:t>
      </w:r>
    </w:p>
    <w:p w:rsidR="00144840" w:rsidRPr="00144840" w:rsidRDefault="00144840" w:rsidP="004C21AF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Lista zajęć fakultatywnych podawana jest do wiadomości doktoranta corocznie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harmonogramie zajęć na dany rok akademicki. Doktorant zobowiązany jest do wyboru zajęć fakultatywnych zgodnie z harmonogramem.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1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Uczestnicy kolejnych lat Szkoły Doktorskiej nie mogą zapisać się na fakultet, w którym uczestniczyli w poprzednich latach akademickich.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Uczestnictwo w wybranych zajęciach fakultatywnych jest obowiązkowe i ich zaliczenie odbywa się na zasadach ustalonych w regulaminie danych zajęć fakultatywnych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 zastrzeżeniem, że obecność na zajęciach nie może być jedynym kryterium zaliczenia.</w:t>
      </w: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1"/>
        </w:numPr>
        <w:tabs>
          <w:tab w:val="left" w:pos="4974"/>
        </w:tabs>
        <w:spacing w:after="0" w:line="0" w:lineRule="atLeast"/>
        <w:ind w:left="4974" w:right="137" w:hanging="168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8</w:t>
      </w:r>
    </w:p>
    <w:p w:rsidR="00144840" w:rsidRPr="00144840" w:rsidRDefault="00144840" w:rsidP="00144840">
      <w:pPr>
        <w:numPr>
          <w:ilvl w:val="0"/>
          <w:numId w:val="12"/>
        </w:numPr>
        <w:tabs>
          <w:tab w:val="left" w:pos="354"/>
        </w:tabs>
        <w:spacing w:after="0" w:line="0" w:lineRule="atLeast"/>
        <w:ind w:left="354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Warunkiem zaliczenia poszczególnych lat kształcenia w Szkole Doktorskiej jest: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pierwszego roku: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240" w:lineRule="auto"/>
        <w:ind w:left="1054" w:right="136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zajęć dydaktycznych,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indywidualnego planu badawczego w terminie określonym w Regulaminie Szkoły Doktorskiej,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0" w:lineRule="atLeast"/>
        <w:ind w:left="1054" w:right="137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051"/>
        </w:tabs>
        <w:spacing w:after="0" w:line="0" w:lineRule="atLeast"/>
        <w:ind w:left="1054"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drugiego roku: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240" w:lineRule="auto"/>
        <w:ind w:left="1420" w:right="136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5" w:name="page5"/>
      <w:bookmarkEnd w:id="5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zajęć ujętych w harmonogramie zajęć w danym roku akademickim 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</w:t>
      </w:r>
      <w:r w:rsidR="0066104A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</w:t>
      </w:r>
      <w:r w:rsidR="0066104A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pozytywne zaliczenie oceny śródokresowej;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trzeciego roku: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8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851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czwartego roku: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240" w:lineRule="auto"/>
        <w:ind w:left="1420" w:right="136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 w indywidualnym planie badawczym,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doktoranta,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gotowej rozprawy doktorskiej.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Default="00144840" w:rsidP="00144840">
      <w:pPr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5"/>
        </w:numPr>
        <w:tabs>
          <w:tab w:val="left" w:pos="5340"/>
        </w:tabs>
        <w:spacing w:after="0" w:line="0" w:lineRule="atLeast"/>
        <w:ind w:left="534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9</w:t>
      </w:r>
    </w:p>
    <w:p w:rsidR="00144840" w:rsidRPr="00144840" w:rsidRDefault="00144840" w:rsidP="00144840">
      <w:pPr>
        <w:tabs>
          <w:tab w:val="left" w:pos="708"/>
        </w:tabs>
        <w:spacing w:after="0" w:line="237" w:lineRule="auto"/>
        <w:ind w:left="7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zobowiązany jest do sporządzania i przedstawiania Dyrektorowi Szkoły Doktorskiej rocznych sprawozdań z pracy naukowej, złożonych egzaminów i uzyskanych zaliczeń oraz pracy dydaktycznej wraz z opinią promotora/promotorów o postępach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pracy naukowej i przygotowaniu rozprawy doktorskiej, a także o pracy dydaktycznej. Sprawozdanie roczne składa się za każdy rok akademicki. Druk sprawozdania generowany jest w systemie informatycznym Uniwersytetu.</w:t>
      </w:r>
    </w:p>
    <w:p w:rsidR="00144840" w:rsidRPr="00144840" w:rsidRDefault="00144840" w:rsidP="00144840">
      <w:pPr>
        <w:spacing w:after="0" w:line="31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IV. Plan realizacji programu studiów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§ 10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Plan realizacji programu kształcenia w Szkole Doktorskiej prowadzonej przez Uniwersytet Medyczny im. Piastów Śląskich we Wrocławiu przewiduje zajęcia obowiązkowe i fakultatywne, seminaria, kursy e-learningowe oraz praktyki zawodowe w formie prowadzenia zajęć dydaktycznych</w:t>
      </w:r>
      <w:r w:rsidRPr="00144840">
        <w:rPr>
          <w:rFonts w:ascii="Myriand pro" w:eastAsia="Calibri" w:hAnsi="Myriand pro" w:cs="Times New Roman"/>
          <w:sz w:val="24"/>
        </w:rPr>
        <w:t xml:space="preserve"> </w:t>
      </w:r>
      <w:r w:rsidRPr="00144840">
        <w:rPr>
          <w:rFonts w:ascii="Myriand pro" w:eastAsia="Calibri" w:hAnsi="Myriand pro" w:cs="Times New Roman"/>
          <w:sz w:val="24"/>
          <w:szCs w:val="24"/>
        </w:rPr>
        <w:t>w wymiarze nie przekraczającym 60 godzin dydaktycznych rocznie.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Indywidualna organizacja kształcenia polega na ustaleniu odrębnych terminów realizacji planu zajęć.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615F11" w:rsidRDefault="00615F11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AD0F7C" w:rsidRDefault="00AD0F7C" w:rsidP="00C367C6">
      <w:pPr>
        <w:rPr>
          <w:rFonts w:ascii="Myriand pro" w:eastAsia="Times New Roman" w:hAnsi="Myriand pro" w:cs="Times New Roman"/>
          <w:b/>
          <w:bCs/>
          <w:sz w:val="28"/>
          <w:szCs w:val="28"/>
          <w:lang w:eastAsia="pl-PL"/>
        </w:rPr>
      </w:pPr>
      <w:r>
        <w:rPr>
          <w:rFonts w:ascii="Myriand pro" w:eastAsia="Times New Roman" w:hAnsi="Myriand pro" w:cs="Times New Roman"/>
          <w:b/>
          <w:bCs/>
          <w:sz w:val="28"/>
          <w:szCs w:val="28"/>
          <w:lang w:eastAsia="pl-PL"/>
        </w:rPr>
        <w:br/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802925">
        <w:rPr>
          <w:rFonts w:ascii="Times New Roman" w:hAnsi="Times New Roman"/>
          <w:b/>
          <w:sz w:val="24"/>
          <w:szCs w:val="24"/>
        </w:rPr>
        <w:t>202</w:t>
      </w:r>
      <w:r w:rsidR="0066104A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802925">
        <w:rPr>
          <w:rFonts w:ascii="Times New Roman" w:hAnsi="Times New Roman"/>
          <w:b/>
          <w:sz w:val="24"/>
          <w:szCs w:val="24"/>
        </w:rPr>
        <w:t>8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Pr="00802925">
        <w:rPr>
          <w:rFonts w:ascii="Times New Roman" w:hAnsi="Times New Roman"/>
          <w:b/>
          <w:sz w:val="24"/>
          <w:szCs w:val="24"/>
        </w:rPr>
        <w:t>202</w:t>
      </w:r>
      <w:r w:rsidR="0066104A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suma </w:t>
            </w:r>
            <w:r w:rsidR="00BB4147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4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Metodyka nauczania </w:t>
            </w:r>
            <w:r w:rsidRPr="00111CBE">
              <w:rPr>
                <w:rFonts w:ascii="Times New Roman" w:eastAsia="Times New Roman" w:hAnsi="Times New Roman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Wprowadzenie do biostatystyki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55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Projekty badawcze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69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Metodologia badań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Lektorat z języka angielskiego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683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Informacja naukowa </w:t>
            </w:r>
            <w:r w:rsidRPr="00111CBE">
              <w:rPr>
                <w:rFonts w:ascii="Times New Roman" w:eastAsia="Times New Roman" w:hAnsi="Times New Roman"/>
              </w:rPr>
              <w:br/>
              <w:t>i bibliograficzna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Od źródła do bibliografii załącznikowej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Prawo i etyka w badaniach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10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111CBE">
              <w:rPr>
                <w:rFonts w:ascii="Times New Roman" w:eastAsia="Times New Roman" w:hAnsi="Times New Roman"/>
              </w:rPr>
              <w:br/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8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BB414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  <w:r w:rsidRPr="00F52EE9"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Dodatkowe wymagania, zgodne z Ustawą PSWiN oraz Regulaminem Szkoły Doktorskiej</w:t>
      </w:r>
      <w:r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:</w:t>
      </w: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sz w:val="24"/>
          <w:szCs w:val="24"/>
        </w:rPr>
      </w:pPr>
      <w:r w:rsidRPr="00F52EE9">
        <w:rPr>
          <w:rFonts w:ascii="Myriand pro" w:eastAsia="Times New Roman" w:hAnsi="Myriand pro" w:cs="Times New Roman"/>
          <w:sz w:val="24"/>
          <w:szCs w:val="24"/>
        </w:rPr>
        <w:t>   Wyznaczenie promotora - w terminie 3 miesięcy od dnia rozpoczęcia kształcenia.</w:t>
      </w:r>
    </w:p>
    <w:p w:rsidR="00195A07" w:rsidRDefault="00195A07" w:rsidP="00195A07">
      <w:r w:rsidRPr="00F52EE9">
        <w:rPr>
          <w:rFonts w:ascii="Myriand pro" w:eastAsia="Times New Roman" w:hAnsi="Myriand pro" w:cs="Times New Roman"/>
          <w:sz w:val="24"/>
          <w:szCs w:val="24"/>
        </w:rPr>
        <w:t>   Złożenie indywidualnego planu badawczego - w terminie 12 miesięcy od dnia rozpoczęcia kształcenia</w:t>
      </w:r>
      <w:r>
        <w:rPr>
          <w:rFonts w:ascii="Myriand pro" w:eastAsia="Times New Roman" w:hAnsi="Myriand pro" w:cs="Times New Roman"/>
          <w:sz w:val="24"/>
          <w:szCs w:val="24"/>
        </w:rPr>
        <w:t>.</w:t>
      </w: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802925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dla cyklu </w:t>
      </w:r>
      <w:r w:rsidRPr="00802925">
        <w:rPr>
          <w:rFonts w:ascii="Times New Roman" w:hAnsi="Times New Roman"/>
          <w:b/>
          <w:sz w:val="24"/>
          <w:szCs w:val="24"/>
        </w:rPr>
        <w:t>kształcenia 202</w:t>
      </w:r>
      <w:r w:rsidR="0066104A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802925">
        <w:rPr>
          <w:rFonts w:ascii="Times New Roman" w:hAnsi="Times New Roman"/>
          <w:b/>
          <w:sz w:val="24"/>
          <w:szCs w:val="24"/>
        </w:rPr>
        <w:t>8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802925">
        <w:rPr>
          <w:rFonts w:ascii="Times New Roman" w:hAnsi="Times New Roman"/>
          <w:b/>
          <w:sz w:val="24"/>
          <w:szCs w:val="24"/>
        </w:rPr>
        <w:t>Rok akademicki 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7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BB414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72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Metodyka nauczania </w:t>
            </w:r>
            <w:r w:rsidRPr="00F52EE9">
              <w:rPr>
                <w:rFonts w:ascii="Myriand pro" w:eastAsia="Times New Roman" w:hAnsi="Myriand pro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Ochrona własności intelektualnej w języku angielskim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Modele analizy statystycznej </w:t>
            </w:r>
            <w:r w:rsidRPr="00F52EE9">
              <w:rPr>
                <w:rFonts w:ascii="Myriand pro" w:eastAsia="Times New Roman" w:hAnsi="Myriand pro"/>
              </w:rPr>
              <w:br/>
              <w:t>w naukach medycznych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Stylistyka wypowiedzi naukowej i komunikacja </w:t>
            </w:r>
            <w:r w:rsidRPr="00F52EE9">
              <w:rPr>
                <w:rFonts w:ascii="Myriand pro" w:eastAsia="Times New Roman" w:hAnsi="Myriand pro"/>
              </w:rPr>
              <w:br/>
              <w:t>w nauce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937631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7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fakultatywne </w:t>
            </w:r>
            <w:r w:rsidRPr="00F52EE9">
              <w:rPr>
                <w:rFonts w:ascii="Myriand pro" w:eastAsia="Times New Roman" w:hAnsi="Myriand pro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>
              <w:rPr>
                <w:rFonts w:ascii="Myriand pro" w:eastAsia="Times New Roman" w:hAnsi="Myriand pro"/>
              </w:rPr>
              <w:br/>
            </w:r>
            <w:r w:rsidRPr="00F52EE9">
              <w:rPr>
                <w:rFonts w:ascii="Myriand pro" w:eastAsia="Times New Roman" w:hAnsi="Myriand pro"/>
              </w:rPr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55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C30" w:rsidRDefault="00763C30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C8330A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dla cyklu </w:t>
      </w:r>
      <w:r w:rsidRPr="00C8330A">
        <w:rPr>
          <w:rFonts w:ascii="Times New Roman" w:hAnsi="Times New Roman"/>
          <w:b/>
          <w:sz w:val="24"/>
          <w:szCs w:val="24"/>
        </w:rPr>
        <w:t>kształcenia 202</w:t>
      </w:r>
      <w:r w:rsidR="0066104A" w:rsidRPr="00C8330A">
        <w:rPr>
          <w:rFonts w:ascii="Times New Roman" w:hAnsi="Times New Roman"/>
          <w:b/>
          <w:sz w:val="24"/>
          <w:szCs w:val="24"/>
        </w:rPr>
        <w:t>5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6</w:t>
      </w:r>
      <w:r w:rsidRPr="00C8330A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C8330A">
        <w:rPr>
          <w:rFonts w:ascii="Times New Roman" w:hAnsi="Times New Roman"/>
          <w:b/>
          <w:sz w:val="24"/>
          <w:szCs w:val="24"/>
        </w:rPr>
        <w:t>Rok akademicki 202</w:t>
      </w:r>
      <w:r w:rsidR="0066104A" w:rsidRPr="00C8330A">
        <w:rPr>
          <w:rFonts w:ascii="Times New Roman" w:hAnsi="Times New Roman"/>
          <w:b/>
          <w:sz w:val="24"/>
          <w:szCs w:val="24"/>
        </w:rPr>
        <w:t>7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75"/>
      </w:tblGrid>
      <w:tr w:rsidR="00195A07" w:rsidRPr="0012233B" w:rsidTr="00BB4147">
        <w:trPr>
          <w:trHeight w:val="59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1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 godzin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9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Zasady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Evidence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Based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Medicine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4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fakultatywne </w:t>
            </w:r>
            <w:r w:rsidRPr="00434C14">
              <w:rPr>
                <w:rFonts w:ascii="Times New Roman" w:eastAsia="Times New Roman" w:hAnsi="Times New Roman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6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Komunikacja interpersonalna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434C14">
              <w:rPr>
                <w:rFonts w:ascii="Times New Roman" w:eastAsia="Times New Roman" w:hAnsi="Times New Roman"/>
              </w:rPr>
              <w:br/>
              <w:t xml:space="preserve">i współprowadzenie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628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/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C8330A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C8330A">
        <w:rPr>
          <w:rFonts w:ascii="Times New Roman" w:hAnsi="Times New Roman"/>
          <w:b/>
          <w:sz w:val="24"/>
          <w:szCs w:val="24"/>
        </w:rPr>
        <w:t>202</w:t>
      </w:r>
      <w:r w:rsidR="0066104A" w:rsidRPr="00C8330A">
        <w:rPr>
          <w:rFonts w:ascii="Times New Roman" w:hAnsi="Times New Roman"/>
          <w:b/>
          <w:sz w:val="24"/>
          <w:szCs w:val="24"/>
        </w:rPr>
        <w:t>5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6</w:t>
      </w:r>
      <w:r w:rsidRPr="00C8330A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C8330A">
        <w:rPr>
          <w:rFonts w:ascii="Times New Roman" w:hAnsi="Times New Roman"/>
          <w:b/>
          <w:sz w:val="24"/>
          <w:szCs w:val="24"/>
        </w:rPr>
        <w:t>Rok akademicki 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9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8329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185"/>
        <w:gridCol w:w="831"/>
        <w:gridCol w:w="1312"/>
        <w:gridCol w:w="1059"/>
        <w:gridCol w:w="1206"/>
        <w:gridCol w:w="1072"/>
        <w:gridCol w:w="1203"/>
      </w:tblGrid>
      <w:tr w:rsidR="00195A07" w:rsidRPr="0012233B" w:rsidTr="00BB4147">
        <w:trPr>
          <w:trHeight w:val="592"/>
        </w:trPr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BB414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Suma godzin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Transfer i komercjalizacja wyników badań naukowych (Transfer and </w:t>
            </w:r>
            <w:proofErr w:type="spellStart"/>
            <w:r w:rsidRPr="000C699C">
              <w:rPr>
                <w:rFonts w:ascii="Myriand pro" w:eastAsia="Times New Roman" w:hAnsi="Myriand pro"/>
              </w:rPr>
              <w:t>commercialization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of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research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results</w:t>
            </w:r>
            <w:proofErr w:type="spellEnd"/>
            <w:r w:rsidRPr="000C699C">
              <w:rPr>
                <w:rFonts w:ascii="Myriand pro" w:eastAsia="Times New Roman" w:hAnsi="Myriand pro"/>
              </w:rPr>
              <w:t>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 w:rsidRPr="000C699C">
              <w:rPr>
                <w:rFonts w:ascii="Myriand pro" w:eastAsia="Times New Roman" w:hAnsi="Myriand pro"/>
              </w:rPr>
              <w:br/>
              <w:t>i współprowadz</w:t>
            </w:r>
            <w:r>
              <w:rPr>
                <w:rFonts w:ascii="Myriand pro" w:eastAsia="Times New Roman" w:hAnsi="Myriand pro"/>
              </w:rPr>
              <w:t>enie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61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047332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BB4147" w:rsidRPr="0012233B" w:rsidTr="00615F11">
        <w:trPr>
          <w:trHeight w:val="721"/>
        </w:trPr>
        <w:tc>
          <w:tcPr>
            <w:tcW w:w="2812" w:type="dxa"/>
            <w:gridSpan w:val="2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b/>
                <w:lang w:eastAsia="pl-PL"/>
              </w:rPr>
              <w:t>68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BB414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047332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9E4AAB" w:rsidRDefault="009E4AAB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BB4147" w:rsidRDefault="00BB414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  <w:r w:rsidRPr="00F52EE9">
        <w:rPr>
          <w:rFonts w:ascii="Myriand pro" w:eastAsia="Times New Roman" w:hAnsi="Myriand pro" w:cs="Times New Roman"/>
          <w:b/>
          <w:bCs/>
          <w:sz w:val="28"/>
          <w:szCs w:val="28"/>
        </w:rPr>
        <w:t>PODSUMOWANIE GODZIN:</w:t>
      </w: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1912"/>
        <w:gridCol w:w="1940"/>
        <w:gridCol w:w="1289"/>
        <w:gridCol w:w="1429"/>
      </w:tblGrid>
      <w:tr w:rsidR="00D30260" w:rsidRPr="00D30260" w:rsidTr="002A08BA">
        <w:trPr>
          <w:trHeight w:val="71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30260" w:rsidRPr="00D30260" w:rsidRDefault="00D30260" w:rsidP="00D30260">
            <w:pPr>
              <w:spacing w:after="0" w:line="240" w:lineRule="auto"/>
              <w:rPr>
                <w:rFonts w:ascii="Myriand pro" w:eastAsia="Times New Roman" w:hAnsi="Myriand pro" w:cs="Times New Roman"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obowiązkowe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fakultatywne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praktyki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</w:tr>
      <w:tr w:rsidR="00D30260" w:rsidRPr="00D30260" w:rsidTr="002A08BA">
        <w:trPr>
          <w:trHeight w:val="67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154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214</w:t>
            </w:r>
          </w:p>
        </w:tc>
      </w:tr>
      <w:tr w:rsidR="00D30260" w:rsidRPr="00D30260" w:rsidTr="002A08BA">
        <w:trPr>
          <w:trHeight w:val="5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135</w:t>
            </w:r>
          </w:p>
        </w:tc>
      </w:tr>
      <w:tr w:rsidR="00D30260" w:rsidRPr="00D30260" w:rsidTr="002A08BA">
        <w:trPr>
          <w:trHeight w:val="56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87</w:t>
            </w:r>
          </w:p>
        </w:tc>
      </w:tr>
      <w:tr w:rsidR="00D30260" w:rsidRPr="00D30260" w:rsidTr="002A08BA">
        <w:trPr>
          <w:trHeight w:val="55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IV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68</w:t>
            </w:r>
          </w:p>
        </w:tc>
      </w:tr>
      <w:tr w:rsidR="00D30260" w:rsidRPr="00D30260" w:rsidTr="002A08BA">
        <w:trPr>
          <w:trHeight w:val="408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504</w:t>
            </w:r>
          </w:p>
        </w:tc>
      </w:tr>
    </w:tbl>
    <w:p w:rsidR="009A1627" w:rsidRPr="00144840" w:rsidRDefault="009A1627" w:rsidP="00BB414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sectPr w:rsidR="009A1627" w:rsidRPr="00144840" w:rsidSect="003B09B4">
      <w:headerReference w:type="default" r:id="rId8"/>
      <w:footerReference w:type="default" r:id="rId9"/>
      <w:pgSz w:w="11906" w:h="16838"/>
      <w:pgMar w:top="709" w:right="1274" w:bottom="1135" w:left="1134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A6" w:rsidRDefault="00A628A6" w:rsidP="0061233E">
      <w:pPr>
        <w:spacing w:after="0" w:line="240" w:lineRule="auto"/>
      </w:pPr>
      <w:r>
        <w:separator/>
      </w:r>
    </w:p>
  </w:endnote>
  <w:endnote w:type="continuationSeparator" w:id="0">
    <w:p w:rsidR="00A628A6" w:rsidRDefault="00A628A6" w:rsidP="006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04027"/>
      <w:docPartObj>
        <w:docPartGallery w:val="Page Numbers (Bottom of Page)"/>
        <w:docPartUnique/>
      </w:docPartObj>
    </w:sdtPr>
    <w:sdtEndPr/>
    <w:sdtContent>
      <w:p w:rsidR="00802925" w:rsidRDefault="008029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7C">
          <w:rPr>
            <w:noProof/>
          </w:rPr>
          <w:t>8</w:t>
        </w:r>
        <w:r>
          <w:fldChar w:fldCharType="end"/>
        </w:r>
      </w:p>
    </w:sdtContent>
  </w:sdt>
  <w:p w:rsidR="00802925" w:rsidRDefault="00802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A6" w:rsidRDefault="00A628A6" w:rsidP="0061233E">
      <w:pPr>
        <w:spacing w:after="0" w:line="240" w:lineRule="auto"/>
      </w:pPr>
      <w:r>
        <w:separator/>
      </w:r>
    </w:p>
  </w:footnote>
  <w:footnote w:type="continuationSeparator" w:id="0">
    <w:p w:rsidR="00A628A6" w:rsidRDefault="00A628A6" w:rsidP="006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25" w:rsidRDefault="008029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29D8" wp14:editId="7B0312D1">
          <wp:simplePos x="0" y="0"/>
          <wp:positionH relativeFrom="page">
            <wp:posOffset>843915</wp:posOffset>
          </wp:positionH>
          <wp:positionV relativeFrom="paragraph">
            <wp:posOffset>-334010</wp:posOffset>
          </wp:positionV>
          <wp:extent cx="2793365" cy="748665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2925" w:rsidRDefault="00802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6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2"/>
  </w:num>
  <w:num w:numId="18">
    <w:abstractNumId w:val="20"/>
  </w:num>
  <w:num w:numId="19">
    <w:abstractNumId w:val="19"/>
  </w:num>
  <w:num w:numId="20">
    <w:abstractNumId w:val="18"/>
  </w:num>
  <w:num w:numId="21">
    <w:abstractNumId w:val="25"/>
  </w:num>
  <w:num w:numId="22">
    <w:abstractNumId w:val="23"/>
  </w:num>
  <w:num w:numId="23">
    <w:abstractNumId w:val="24"/>
  </w:num>
  <w:num w:numId="24">
    <w:abstractNumId w:val="26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0"/>
    <w:rsid w:val="000B3CAB"/>
    <w:rsid w:val="000C680F"/>
    <w:rsid w:val="00116B7B"/>
    <w:rsid w:val="00133E34"/>
    <w:rsid w:val="00144840"/>
    <w:rsid w:val="00195A07"/>
    <w:rsid w:val="001C4BFF"/>
    <w:rsid w:val="002A08BA"/>
    <w:rsid w:val="003218E6"/>
    <w:rsid w:val="003B09B4"/>
    <w:rsid w:val="00483291"/>
    <w:rsid w:val="004C21AF"/>
    <w:rsid w:val="00564F05"/>
    <w:rsid w:val="00572753"/>
    <w:rsid w:val="0061233E"/>
    <w:rsid w:val="00615F11"/>
    <w:rsid w:val="0066104A"/>
    <w:rsid w:val="00665AF4"/>
    <w:rsid w:val="00763C30"/>
    <w:rsid w:val="0078607C"/>
    <w:rsid w:val="00802925"/>
    <w:rsid w:val="009A1627"/>
    <w:rsid w:val="009D7745"/>
    <w:rsid w:val="009E4AAB"/>
    <w:rsid w:val="00A33B84"/>
    <w:rsid w:val="00A40B50"/>
    <w:rsid w:val="00A446B1"/>
    <w:rsid w:val="00A54DB3"/>
    <w:rsid w:val="00A628A6"/>
    <w:rsid w:val="00AB7964"/>
    <w:rsid w:val="00AD0F7C"/>
    <w:rsid w:val="00B61640"/>
    <w:rsid w:val="00B93E0B"/>
    <w:rsid w:val="00BB4147"/>
    <w:rsid w:val="00C03D0E"/>
    <w:rsid w:val="00C367C6"/>
    <w:rsid w:val="00C8330A"/>
    <w:rsid w:val="00D30260"/>
    <w:rsid w:val="00D62A10"/>
    <w:rsid w:val="00D926CC"/>
    <w:rsid w:val="00E75603"/>
    <w:rsid w:val="00E8269E"/>
    <w:rsid w:val="00E901B0"/>
    <w:rsid w:val="00E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39AE4-6D5A-4E6B-8A7E-502413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33E"/>
  </w:style>
  <w:style w:type="paragraph" w:styleId="Stopka">
    <w:name w:val="footer"/>
    <w:basedOn w:val="Normalny"/>
    <w:link w:val="Stopka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2051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uchwałay nr 2665/2024</dc:title>
  <dc:subject/>
  <dc:creator>Dyrektor Szkoły Doktorskiej</dc:creator>
  <cp:keywords>program kształcenia</cp:keywords>
  <dc:description/>
  <cp:lastModifiedBy>MKapera</cp:lastModifiedBy>
  <cp:revision>3</cp:revision>
  <cp:lastPrinted>2023-11-07T08:46:00Z</cp:lastPrinted>
  <dcterms:created xsi:type="dcterms:W3CDTF">2024-11-27T12:52:00Z</dcterms:created>
  <dcterms:modified xsi:type="dcterms:W3CDTF">2024-11-28T10:46:00Z</dcterms:modified>
</cp:coreProperties>
</file>