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341" w:rsidRPr="003030F8" w:rsidRDefault="007B2341" w:rsidP="007B2341">
      <w:pPr>
        <w:pStyle w:val="Nagwek1"/>
        <w:tabs>
          <w:tab w:val="left" w:pos="0"/>
        </w:tabs>
        <w:ind w:left="6379" w:hanging="1559"/>
        <w:jc w:val="both"/>
        <w:rPr>
          <w:b w:val="0"/>
          <w:sz w:val="16"/>
          <w:szCs w:val="16"/>
        </w:rPr>
      </w:pPr>
      <w:r w:rsidRPr="003030F8">
        <w:rPr>
          <w:b w:val="0"/>
          <w:sz w:val="16"/>
          <w:szCs w:val="16"/>
        </w:rPr>
        <w:t xml:space="preserve">Załącznik nr </w:t>
      </w:r>
      <w:r>
        <w:rPr>
          <w:b w:val="0"/>
          <w:sz w:val="16"/>
          <w:szCs w:val="16"/>
        </w:rPr>
        <w:t>3</w:t>
      </w:r>
    </w:p>
    <w:p w:rsidR="007B2341" w:rsidRPr="0089078C" w:rsidRDefault="007B2341" w:rsidP="007B2341">
      <w:pPr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„REGULAMINU UDZIELANIA ZAMÓWIEŃ PUBLICZNYCH W UNIWERSYTECIE MEDYCZNYM WE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WROCŁAWIU z wyłączeniem stosowania przepisów Ustawy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>z dnia 11 września 2019 r. Prawo zamówień publicznych (tekst jedn. - Dz. U. z 2023 r., poz. 1605, z późn. zm.), o którym mowa w art. 2 ust. 1 pkt 1 tej ustawy, ze względu na wartość szacunkową netto zamówienia mniejszą niż 130 000 złotych”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F4726D" w:rsidRPr="00F4726D" w:rsidRDefault="008A063A" w:rsidP="00F4726D">
      <w:pPr>
        <w:ind w:left="360" w:right="-470"/>
        <w:jc w:val="both"/>
        <w:rPr>
          <w:rFonts w:ascii="Calibri" w:hAnsi="Calibri" w:cs="Calibri"/>
          <w:sz w:val="22"/>
          <w:szCs w:val="22"/>
        </w:rPr>
      </w:pPr>
      <w:r w:rsidRPr="00F4726D">
        <w:rPr>
          <w:rFonts w:ascii="Calibri" w:hAnsi="Calibri" w:cs="Calibri"/>
          <w:sz w:val="22"/>
          <w:szCs w:val="22"/>
        </w:rPr>
        <w:t xml:space="preserve">Nawiązując do zaproszenia z dnia </w:t>
      </w:r>
      <w:r w:rsidR="00F4726D" w:rsidRPr="00F4726D">
        <w:rPr>
          <w:rFonts w:ascii="Calibri" w:hAnsi="Calibri" w:cs="Calibri"/>
          <w:sz w:val="22"/>
          <w:szCs w:val="22"/>
        </w:rPr>
        <w:t xml:space="preserve"> </w:t>
      </w:r>
      <w:r w:rsidR="00DC46C6">
        <w:rPr>
          <w:rFonts w:ascii="Calibri" w:hAnsi="Calibri" w:cs="Calibri"/>
          <w:sz w:val="22"/>
          <w:szCs w:val="22"/>
        </w:rPr>
        <w:t xml:space="preserve">5 kwietnia </w:t>
      </w:r>
      <w:r w:rsidR="00F4726D" w:rsidRPr="00F4726D">
        <w:rPr>
          <w:rFonts w:ascii="Calibri" w:hAnsi="Calibri" w:cs="Calibri"/>
          <w:sz w:val="22"/>
          <w:szCs w:val="22"/>
        </w:rPr>
        <w:t xml:space="preserve"> 2024r.</w:t>
      </w:r>
      <w:r w:rsidRPr="00F4726D">
        <w:rPr>
          <w:rFonts w:ascii="Calibri" w:hAnsi="Calibri" w:cs="Calibri"/>
          <w:sz w:val="22"/>
          <w:szCs w:val="22"/>
        </w:rPr>
        <w:t xml:space="preserve"> na:</w:t>
      </w:r>
    </w:p>
    <w:p w:rsidR="00F4726D" w:rsidRDefault="00F4726D" w:rsidP="00F4726D">
      <w:pPr>
        <w:ind w:left="360" w:right="-470"/>
        <w:jc w:val="both"/>
        <w:rPr>
          <w:rFonts w:ascii="Calibri" w:hAnsi="Calibri" w:cs="Calibri"/>
          <w:sz w:val="20"/>
          <w:szCs w:val="20"/>
        </w:rPr>
      </w:pPr>
    </w:p>
    <w:p w:rsidR="00DC46C6" w:rsidRDefault="00DC46C6" w:rsidP="00DC46C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B7888">
        <w:rPr>
          <w:rFonts w:asciiTheme="minorHAnsi" w:hAnsiTheme="minorHAnsi" w:cstheme="minorHAnsi"/>
          <w:b/>
          <w:sz w:val="20"/>
          <w:szCs w:val="20"/>
        </w:rPr>
        <w:t>Przeprowadzenie pięcioletniej i rocznej kontroli okresowej stanu technicznego obiektów Uniwersytetu Medycznego we Wrocławiu, zgodnie z art. 62 ust. 1 pkt 1a prawo budowlane do dnia 30listopada 2024r.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B7888">
        <w:rPr>
          <w:rFonts w:asciiTheme="minorHAnsi" w:hAnsiTheme="minorHAnsi" w:cstheme="minorHAnsi"/>
          <w:b/>
          <w:sz w:val="20"/>
          <w:szCs w:val="20"/>
        </w:rPr>
        <w:t>Wykaz obiektów stanowią załącznik nr 1 oraz 4.</w:t>
      </w:r>
    </w:p>
    <w:p w:rsidR="00DC46C6" w:rsidRDefault="00DC46C6" w:rsidP="00DC46C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B7888">
        <w:rPr>
          <w:rFonts w:asciiTheme="minorHAnsi" w:hAnsiTheme="minorHAnsi" w:cstheme="minorHAnsi"/>
          <w:b/>
          <w:sz w:val="20"/>
          <w:szCs w:val="20"/>
        </w:rPr>
        <w:t>Przeprowadzenie</w:t>
      </w:r>
      <w:r>
        <w:rPr>
          <w:rFonts w:asciiTheme="minorHAnsi" w:hAnsiTheme="minorHAnsi" w:cstheme="minorHAnsi"/>
          <w:b/>
          <w:sz w:val="20"/>
          <w:szCs w:val="20"/>
        </w:rPr>
        <w:t xml:space="preserve"> półrocznej</w:t>
      </w:r>
      <w:r w:rsidRPr="00BB7888">
        <w:rPr>
          <w:rFonts w:asciiTheme="minorHAnsi" w:hAnsiTheme="minorHAnsi" w:cstheme="minorHAnsi"/>
          <w:b/>
          <w:sz w:val="20"/>
          <w:szCs w:val="20"/>
        </w:rPr>
        <w:t xml:space="preserve"> kontroli stanu technicznego budynków Uniwersytetu Medycznego we Wrocławiu, dwa razy w roku, w terminach do 31 maja oraz do 30 listopada, zgodnie z art. 62 ust. 1 pkt 3 prawo budowlane. Wykaz obiektów stanowi złącznik nr 3.</w:t>
      </w:r>
    </w:p>
    <w:p w:rsidR="00DC46C6" w:rsidRDefault="00DC46C6" w:rsidP="00DC46C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B7888">
        <w:rPr>
          <w:rFonts w:asciiTheme="minorHAnsi" w:hAnsiTheme="minorHAnsi" w:cstheme="minorHAnsi"/>
          <w:b/>
          <w:sz w:val="20"/>
          <w:szCs w:val="20"/>
        </w:rPr>
        <w:t>Sporządzenie protokołów z przeglądu wraz z dokumentacją fotograficzną.</w:t>
      </w:r>
    </w:p>
    <w:p w:rsidR="008A063A" w:rsidRPr="00DC46C6" w:rsidRDefault="00DC46C6" w:rsidP="00DC46C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B7888">
        <w:rPr>
          <w:rFonts w:asciiTheme="minorHAnsi" w:hAnsiTheme="minorHAnsi" w:cstheme="minorHAnsi"/>
          <w:b/>
          <w:sz w:val="20"/>
          <w:szCs w:val="20"/>
        </w:rPr>
        <w:t>Opracowanie zestawienia zaleceń po przeglądzie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bookmarkStart w:id="0" w:name="_GoBack"/>
      <w:bookmarkEnd w:id="0"/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</w:t>
      </w:r>
      <w:r w:rsidRPr="00F4726D">
        <w:rPr>
          <w:rFonts w:ascii="Calibri" w:hAnsi="Calibri" w:cs="Calibri"/>
          <w:b/>
          <w:sz w:val="22"/>
        </w:rPr>
        <w:t>/usług/</w:t>
      </w:r>
      <w:r w:rsidRPr="007751FB">
        <w:rPr>
          <w:rFonts w:ascii="Calibri" w:hAnsi="Calibri" w:cs="Calibri"/>
          <w:sz w:val="22"/>
        </w:rPr>
        <w:t>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D5B9B"/>
    <w:multiLevelType w:val="hybridMultilevel"/>
    <w:tmpl w:val="A7EE0596"/>
    <w:lvl w:ilvl="0" w:tplc="239214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43C6"/>
    <w:rsid w:val="00161C54"/>
    <w:rsid w:val="002127BF"/>
    <w:rsid w:val="00304F8D"/>
    <w:rsid w:val="00416258"/>
    <w:rsid w:val="00452910"/>
    <w:rsid w:val="00566DEC"/>
    <w:rsid w:val="00623A50"/>
    <w:rsid w:val="007751FB"/>
    <w:rsid w:val="007B2341"/>
    <w:rsid w:val="007C1D4D"/>
    <w:rsid w:val="007F2993"/>
    <w:rsid w:val="0086640F"/>
    <w:rsid w:val="008A063A"/>
    <w:rsid w:val="008D2932"/>
    <w:rsid w:val="00921D0E"/>
    <w:rsid w:val="009A0030"/>
    <w:rsid w:val="009E3C77"/>
    <w:rsid w:val="00B95603"/>
    <w:rsid w:val="00BE5231"/>
    <w:rsid w:val="00C160A4"/>
    <w:rsid w:val="00D1121A"/>
    <w:rsid w:val="00DA562A"/>
    <w:rsid w:val="00DC46C6"/>
    <w:rsid w:val="00DE0098"/>
    <w:rsid w:val="00E0258A"/>
    <w:rsid w:val="00F4726D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7D1F0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ag 1,Wypunktowanie,CW_Lista,L1,Numerowanie,List Paragraph,Akapit z listą5"/>
    <w:basedOn w:val="Normalny"/>
    <w:uiPriority w:val="34"/>
    <w:qFormat/>
    <w:rsid w:val="00DC46C6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SPieprzyk</cp:lastModifiedBy>
  <cp:revision>3</cp:revision>
  <cp:lastPrinted>2021-03-03T10:04:00Z</cp:lastPrinted>
  <dcterms:created xsi:type="dcterms:W3CDTF">2024-04-03T05:50:00Z</dcterms:created>
  <dcterms:modified xsi:type="dcterms:W3CDTF">2024-04-05T07:04:00Z</dcterms:modified>
</cp:coreProperties>
</file>