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48" w:rsidRPr="007B7A48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7B7A48">
        <w:rPr>
          <w:rFonts w:ascii="Trebuchet MS" w:hAnsi="Trebuchet MS"/>
          <w:sz w:val="16"/>
          <w:szCs w:val="16"/>
        </w:rPr>
        <w:t>Uniwersytet Medyczny im. Piastów Śląskich we Wrocławiu</w:t>
      </w:r>
      <w:r w:rsidRPr="007B7A48">
        <w:rPr>
          <w:rFonts w:ascii="Trebuchet MS" w:hAnsi="Trebuchet MS"/>
          <w:sz w:val="16"/>
          <w:szCs w:val="16"/>
        </w:rPr>
        <w:br/>
        <w:t>Wybrzeże L. Pasteura 1</w:t>
      </w:r>
      <w:r w:rsidRPr="007B7A48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7B7A48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>
        <w:rPr>
          <w:color w:val="000000"/>
          <w:sz w:val="28"/>
          <w:szCs w:val="28"/>
        </w:rPr>
        <w:t xml:space="preserve">                     </w:t>
      </w:r>
      <w:r w:rsidR="00B952A3">
        <w:rPr>
          <w:color w:val="000000"/>
          <w:sz w:val="28"/>
          <w:szCs w:val="28"/>
        </w:rPr>
        <w:t xml:space="preserve">              </w:t>
      </w:r>
      <w:r w:rsidR="007B7A48" w:rsidRPr="007B7A48">
        <w:rPr>
          <w:color w:val="000000"/>
          <w:sz w:val="16"/>
          <w:szCs w:val="16"/>
        </w:rPr>
        <w:t>Wrocław</w:t>
      </w:r>
      <w:r w:rsidR="00E94F7B">
        <w:rPr>
          <w:color w:val="000000"/>
          <w:sz w:val="16"/>
          <w:szCs w:val="16"/>
        </w:rPr>
        <w:t xml:space="preserve">  </w:t>
      </w:r>
      <w:r w:rsidR="00F80565">
        <w:rPr>
          <w:color w:val="000000"/>
          <w:sz w:val="16"/>
          <w:szCs w:val="16"/>
        </w:rPr>
        <w:t>07</w:t>
      </w:r>
      <w:r w:rsidR="00891A1F">
        <w:rPr>
          <w:color w:val="000000"/>
          <w:sz w:val="16"/>
          <w:szCs w:val="16"/>
        </w:rPr>
        <w:t>.</w:t>
      </w:r>
      <w:r w:rsidR="00F80565">
        <w:rPr>
          <w:color w:val="000000"/>
          <w:sz w:val="16"/>
          <w:szCs w:val="16"/>
        </w:rPr>
        <w:t>11</w:t>
      </w:r>
      <w:r w:rsidR="00891A1F">
        <w:rPr>
          <w:color w:val="000000"/>
          <w:sz w:val="16"/>
          <w:szCs w:val="16"/>
        </w:rPr>
        <w:t>.2018</w:t>
      </w:r>
      <w:r w:rsidR="00B952A3">
        <w:rPr>
          <w:color w:val="000000"/>
          <w:sz w:val="16"/>
          <w:szCs w:val="16"/>
        </w:rPr>
        <w:t xml:space="preserve"> r.</w:t>
      </w:r>
    </w:p>
    <w:p w:rsidR="00D6689C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BC5EBC" w:rsidRDefault="00BC5EBC" w:rsidP="000B28E2">
      <w:pPr>
        <w:rPr>
          <w:sz w:val="22"/>
          <w:szCs w:val="28"/>
        </w:rPr>
      </w:pPr>
    </w:p>
    <w:p w:rsidR="00D16937" w:rsidRDefault="00D44C6C" w:rsidP="000B28E2">
      <w:pPr>
        <w:rPr>
          <w:b/>
          <w:bCs/>
        </w:rPr>
      </w:pPr>
      <w:r w:rsidRPr="00D44C6C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D44C6C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E94F7B">
        <w:rPr>
          <w:sz w:val="22"/>
          <w:szCs w:val="22"/>
        </w:rPr>
        <w:t>:</w:t>
      </w:r>
      <w:r w:rsidR="00BC5EBC">
        <w:rPr>
          <w:sz w:val="22"/>
          <w:szCs w:val="22"/>
        </w:rPr>
        <w:t xml:space="preserve"> </w:t>
      </w:r>
      <w:r w:rsidR="001C50D3">
        <w:rPr>
          <w:b/>
          <w:bCs/>
        </w:rPr>
        <w:t xml:space="preserve">dostawa </w:t>
      </w:r>
      <w:r w:rsidR="009A0823">
        <w:rPr>
          <w:b/>
          <w:bCs/>
        </w:rPr>
        <w:t>sprzętu sieciowego</w:t>
      </w: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34E" w:rsidRPr="00F80565" w:rsidRDefault="005B7D34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>Dostawa, montaż i uruchomienie p</w:t>
            </w:r>
            <w:r w:rsidR="00F80565" w:rsidRPr="00F80565">
              <w:rPr>
                <w:b/>
                <w:bCs/>
              </w:rPr>
              <w:t>rzełącznik</w:t>
            </w:r>
            <w:r>
              <w:rPr>
                <w:b/>
                <w:bCs/>
              </w:rPr>
              <w:t>a</w:t>
            </w:r>
            <w:r w:rsidR="00F80565" w:rsidRPr="00F80565">
              <w:rPr>
                <w:b/>
                <w:bCs/>
              </w:rPr>
              <w:t xml:space="preserve"> sieciow</w:t>
            </w:r>
            <w:r>
              <w:rPr>
                <w:b/>
                <w:bCs/>
              </w:rPr>
              <w:t>ego</w:t>
            </w:r>
            <w:r w:rsidR="00F80565" w:rsidRPr="00F80565">
              <w:rPr>
                <w:b/>
                <w:bCs/>
              </w:rPr>
              <w:t>, szaf</w:t>
            </w:r>
            <w:r>
              <w:rPr>
                <w:b/>
                <w:bCs/>
              </w:rPr>
              <w:t>y</w:t>
            </w:r>
            <w:r w:rsidR="00F80565" w:rsidRPr="00F80565">
              <w:rPr>
                <w:b/>
                <w:bCs/>
              </w:rPr>
              <w:t xml:space="preserve"> RACK z wyposażeniem</w:t>
            </w:r>
          </w:p>
          <w:p w:rsidR="00D6689C" w:rsidRDefault="00D8734E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w załączeniu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4B4044">
              <w:rPr>
                <w:color w:val="000000"/>
                <w:sz w:val="18"/>
                <w:szCs w:val="18"/>
              </w:rPr>
              <w:t>Do</w:t>
            </w:r>
            <w:r w:rsidR="002A0A78">
              <w:rPr>
                <w:color w:val="000000"/>
                <w:sz w:val="18"/>
                <w:szCs w:val="18"/>
              </w:rPr>
              <w:t xml:space="preserve"> </w:t>
            </w:r>
            <w:r w:rsidR="00F80565">
              <w:rPr>
                <w:color w:val="000000"/>
                <w:sz w:val="18"/>
                <w:szCs w:val="18"/>
              </w:rPr>
              <w:t>21</w:t>
            </w:r>
            <w:r w:rsidRPr="004B4044">
              <w:rPr>
                <w:color w:val="000000"/>
                <w:sz w:val="18"/>
                <w:szCs w:val="18"/>
              </w:rPr>
              <w:t xml:space="preserve">  </w:t>
            </w:r>
            <w:r w:rsidR="001C50D3">
              <w:rPr>
                <w:color w:val="000000"/>
                <w:sz w:val="18"/>
                <w:szCs w:val="18"/>
              </w:rPr>
              <w:t>dni</w:t>
            </w:r>
            <w:r w:rsidRPr="004B4044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891A1F">
              <w:rPr>
                <w:sz w:val="20"/>
                <w:szCs w:val="16"/>
              </w:rPr>
              <w:t xml:space="preserve">24 </w:t>
            </w:r>
            <w:r w:rsidRPr="007B7A48">
              <w:rPr>
                <w:sz w:val="20"/>
                <w:szCs w:val="16"/>
              </w:rPr>
              <w:t>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pełnym okresem gwarancji wynoszącym  </w:t>
            </w:r>
            <w:r w:rsidR="002A0A78" w:rsidRPr="007B7A48">
              <w:rPr>
                <w:sz w:val="20"/>
                <w:szCs w:val="16"/>
              </w:rPr>
              <w:t>min</w:t>
            </w:r>
            <w:r w:rsidR="00891A1F">
              <w:rPr>
                <w:sz w:val="20"/>
                <w:szCs w:val="16"/>
              </w:rPr>
              <w:t xml:space="preserve"> 24</w:t>
            </w:r>
            <w:r w:rsidR="002A0A78" w:rsidRPr="007B7A48">
              <w:rPr>
                <w:sz w:val="20"/>
                <w:szCs w:val="16"/>
              </w:rPr>
              <w:t xml:space="preserve"> miesięcy</w:t>
            </w:r>
            <w:r w:rsidR="00891A1F">
              <w:rPr>
                <w:sz w:val="20"/>
                <w:szCs w:val="16"/>
              </w:rPr>
              <w:t>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4B4044" w:rsidRPr="00C5230B" w:rsidRDefault="00F1121C" w:rsidP="004B4044">
      <w:pPr>
        <w:ind w:left="360" w:hanging="360"/>
        <w:jc w:val="both"/>
        <w:rPr>
          <w:sz w:val="18"/>
          <w:szCs w:val="18"/>
        </w:rPr>
      </w:pPr>
      <w:r w:rsidRPr="00C5230B">
        <w:rPr>
          <w:sz w:val="18"/>
          <w:szCs w:val="18"/>
        </w:rPr>
        <w:t>3.</w:t>
      </w:r>
      <w:r w:rsidR="004B4044" w:rsidRPr="00C5230B">
        <w:rPr>
          <w:sz w:val="18"/>
          <w:szCs w:val="18"/>
        </w:rPr>
        <w:t xml:space="preserve"> 2. Oferty wraz z wypełnioną specyfikacja techniczną należy składać: </w:t>
      </w:r>
    </w:p>
    <w:p w:rsidR="004B4044" w:rsidRPr="00C5230B" w:rsidRDefault="00BC5EBC" w:rsidP="004B4044">
      <w:pPr>
        <w:rPr>
          <w:sz w:val="18"/>
          <w:szCs w:val="18"/>
        </w:rPr>
      </w:pPr>
      <w:r>
        <w:rPr>
          <w:sz w:val="18"/>
          <w:szCs w:val="18"/>
        </w:rPr>
        <w:t>faksem  nr   71 / 784 00 30</w:t>
      </w:r>
      <w:r w:rsidR="004B4044" w:rsidRPr="00C5230B">
        <w:rPr>
          <w:b/>
          <w:sz w:val="18"/>
          <w:szCs w:val="18"/>
        </w:rPr>
        <w:t xml:space="preserve">   </w:t>
      </w:r>
      <w:r w:rsidR="004B4044" w:rsidRPr="00C5230B">
        <w:rPr>
          <w:sz w:val="18"/>
          <w:szCs w:val="18"/>
        </w:rPr>
        <w:t xml:space="preserve">lub  </w:t>
      </w:r>
      <w:r w:rsidR="004B4044" w:rsidRPr="00C5230B">
        <w:rPr>
          <w:b/>
          <w:sz w:val="18"/>
          <w:szCs w:val="18"/>
        </w:rPr>
        <w:t>formie PDF</w:t>
      </w:r>
      <w:r w:rsidR="004B4044" w:rsidRPr="00C5230B">
        <w:rPr>
          <w:sz w:val="18"/>
          <w:szCs w:val="18"/>
        </w:rPr>
        <w:t xml:space="preserve">  </w:t>
      </w:r>
      <w:r w:rsidR="00C5230B" w:rsidRPr="00C5230B">
        <w:rPr>
          <w:b/>
          <w:sz w:val="18"/>
          <w:szCs w:val="18"/>
        </w:rPr>
        <w:t>e-</w:t>
      </w:r>
      <w:r w:rsidR="004B4044" w:rsidRPr="00C5230B">
        <w:rPr>
          <w:b/>
          <w:sz w:val="18"/>
          <w:szCs w:val="18"/>
        </w:rPr>
        <w:t xml:space="preserve">mail  </w:t>
      </w:r>
      <w:r w:rsidR="001C50D3" w:rsidRPr="00C5230B">
        <w:rPr>
          <w:b/>
          <w:sz w:val="18"/>
          <w:szCs w:val="18"/>
        </w:rPr>
        <w:t>wojciech.piwnik</w:t>
      </w:r>
      <w:r w:rsidR="002A0A78" w:rsidRPr="00C5230B">
        <w:rPr>
          <w:b/>
          <w:sz w:val="18"/>
          <w:szCs w:val="18"/>
        </w:rPr>
        <w:t>@umed.wroc.pl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sz w:val="18"/>
          <w:szCs w:val="18"/>
        </w:rPr>
        <w:t xml:space="preserve">w terminie do dnia  </w:t>
      </w:r>
      <w:r w:rsidR="00AE5921" w:rsidRPr="00AE5921">
        <w:rPr>
          <w:color w:val="548DD4" w:themeColor="text2" w:themeTint="99"/>
          <w:sz w:val="18"/>
          <w:szCs w:val="18"/>
        </w:rPr>
        <w:t>15</w:t>
      </w:r>
      <w:r w:rsidR="00BC5EBC" w:rsidRPr="00AE5921">
        <w:rPr>
          <w:color w:val="548DD4" w:themeColor="text2" w:themeTint="99"/>
          <w:sz w:val="18"/>
          <w:szCs w:val="18"/>
        </w:rPr>
        <w:t>.</w:t>
      </w:r>
      <w:r w:rsidR="00BC5EBC">
        <w:rPr>
          <w:sz w:val="18"/>
          <w:szCs w:val="18"/>
        </w:rPr>
        <w:t>1</w:t>
      </w:r>
      <w:r w:rsidR="00F80565">
        <w:rPr>
          <w:sz w:val="18"/>
          <w:szCs w:val="18"/>
        </w:rPr>
        <w:t>1</w:t>
      </w:r>
      <w:r w:rsidR="00891A1F" w:rsidRPr="00C5230B">
        <w:rPr>
          <w:sz w:val="18"/>
          <w:szCs w:val="18"/>
        </w:rPr>
        <w:t>.2018</w:t>
      </w:r>
      <w:r w:rsidR="002A0A78" w:rsidRPr="00C5230B">
        <w:rPr>
          <w:sz w:val="18"/>
          <w:szCs w:val="18"/>
        </w:rPr>
        <w:t xml:space="preserve"> r do godz. </w:t>
      </w:r>
      <w:r w:rsidR="00F80565">
        <w:rPr>
          <w:sz w:val="18"/>
          <w:szCs w:val="18"/>
        </w:rPr>
        <w:t>10</w:t>
      </w:r>
      <w:r w:rsidR="002A0A78" w:rsidRPr="00C5230B">
        <w:rPr>
          <w:sz w:val="18"/>
          <w:szCs w:val="18"/>
        </w:rPr>
        <w:t>:00</w:t>
      </w:r>
    </w:p>
    <w:p w:rsidR="004B4044" w:rsidRPr="00C5230B" w:rsidRDefault="004B4044" w:rsidP="004B4044">
      <w:pPr>
        <w:jc w:val="both"/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>3. Kryteriami oceny ofert są: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 xml:space="preserve">Cena </w:t>
      </w:r>
      <w:r w:rsidR="009F62F8">
        <w:rPr>
          <w:b/>
          <w:sz w:val="18"/>
          <w:szCs w:val="18"/>
        </w:rPr>
        <w:t xml:space="preserve"> </w:t>
      </w:r>
      <w:r w:rsidRPr="00C5230B">
        <w:rPr>
          <w:b/>
          <w:sz w:val="18"/>
          <w:szCs w:val="18"/>
        </w:rPr>
        <w:t xml:space="preserve">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>Wykonawca może zwrócić się do Zamawiającego o wyjaśnienie treści Zaproszenia do składania ofert. Zamawiający niezwłocznie udzieli wyjaśnień, pod warunkiem, że wn</w:t>
      </w:r>
      <w:r w:rsidR="00AE5921">
        <w:rPr>
          <w:sz w:val="18"/>
          <w:szCs w:val="18"/>
        </w:rPr>
        <w:t>+</w:t>
      </w:r>
      <w:r w:rsidRPr="004B4044">
        <w:rPr>
          <w:sz w:val="18"/>
          <w:szCs w:val="18"/>
        </w:rPr>
        <w:t xml:space="preserve">iosek o wyjaśnienie treści Zaproszenia wpłynął do Zamawiającego nie później niż do końca dnia, w którym upływa połowa wyznaczonego terminu składania ofert. </w:t>
      </w:r>
    </w:p>
    <w:p w:rsidR="004B4044" w:rsidRPr="004B4044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803F0A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Default="00D6689C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F62F8" w:rsidRDefault="009F62F8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Zał. nr 1 – specyfikacja techniczna.</w:t>
      </w:r>
    </w:p>
    <w:p w:rsidR="009C68B2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A0823" w:rsidRDefault="009A0823" w:rsidP="009A0823">
      <w:r>
        <w:t xml:space="preserve">1. Stojąca szafa serwerowa rack </w:t>
      </w:r>
      <w:r w:rsidRPr="00D7407E">
        <w:rPr>
          <w:b/>
        </w:rPr>
        <w:t>1 sztuka</w:t>
      </w:r>
    </w:p>
    <w:p w:rsidR="009A0823" w:rsidRDefault="009A0823" w:rsidP="009A082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wymiary maksymalne zewnętrzne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szer. x gł. x wys. [mm]</w:t>
            </w:r>
          </w:p>
          <w:p w:rsidR="009A0823" w:rsidRDefault="009A0823" w:rsidP="004D42DE">
            <w:r>
              <w:t xml:space="preserve">800 x 1200 </w:t>
            </w:r>
            <w:r w:rsidR="004D42DE">
              <w:t xml:space="preserve">x </w:t>
            </w:r>
            <w:r>
              <w:t>2277</w:t>
            </w:r>
          </w:p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głębokość </w:t>
            </w:r>
            <w:r w:rsidR="004D42DE">
              <w:rPr>
                <w:rFonts w:ascii="Calibri" w:eastAsia="Calibri" w:hAnsi="Calibri"/>
              </w:rPr>
              <w:t>maks.</w:t>
            </w:r>
            <w:r>
              <w:rPr>
                <w:rFonts w:ascii="Calibri" w:eastAsia="Calibri" w:hAnsi="Calibri"/>
              </w:rPr>
              <w:t>montażowa półki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700mm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możliwość montażu urządzeń o sumarycznej wysokości 47U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wentylacja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otwory wentylacyjne w ścianach bocznych oraz drzwiach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wentylacja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sufitowy panel wentylacyjny wyposażony w min. cztery wentylatory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wymiar rozszerzony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szafa poszerzona do min. 800mm – możliwość umiejscowienia dla pionowych organizerów kablowych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szyny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4szt. szyny RACK do montażu urządzeń w tym min. 2 z przodu i min. 2 z tyłu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odstępy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numerowane odstępy 1U na listwach montażowych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klucze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w zestawie komplet kluczyków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obciążenie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maks. obciążenie szkieletu do 800,00kg (nośność statyczna)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materiał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stal malowana na kolor czarny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ochrona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stopień ochrony IP20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materiał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stal walcowana na zimno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wykończenie powierzchni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odtłuszczanie, wytrawienie, fosfatowanie, malowanie proszkowe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15 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zabezpieczenie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zabezpieczenie przed rdzą, utlenianiem, porysowaniem, korozją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grubość ramy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1,5mm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grubość szyn montażowych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2,0mm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grubość drzwi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1,2mm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grubość paneli bocznych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1,2mm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grubość podstawy oraz pokrywy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1,2mm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drzwi frontowe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pojedyncze, metalowe ze stali perforowanej, z zamkiem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drzwi tylne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podwójne metalowe ze stali perforowanej z zamkiem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drzwi boczne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pełne stalowe demontowane na zatrzaskach z możliwością montażu zamka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nóżki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regulowane poziomujące i kółka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kompatybilność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ze standardami metrycznym, ETSI oraz międzynarodowym 19”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RPr="004D42DE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zgodność z normami</w:t>
            </w:r>
          </w:p>
        </w:tc>
        <w:tc>
          <w:tcPr>
            <w:tcW w:w="3671" w:type="dxa"/>
            <w:shd w:val="clear" w:color="auto" w:fill="auto"/>
          </w:tcPr>
          <w:p w:rsidR="009A0823" w:rsidRPr="004D42DE" w:rsidRDefault="009A0823" w:rsidP="004D42DE">
            <w:r w:rsidRPr="004D42DE">
              <w:t>ANSI/EIA RS-310-D, DIN41491 PART1, IEC297-2, DIN41494 PART7, GB/T3047.2-92</w:t>
            </w:r>
            <w:r w:rsidR="004D42DE" w:rsidRPr="004D42DE">
              <w:t xml:space="preserve"> lub równoważnymi </w:t>
            </w:r>
          </w:p>
        </w:tc>
        <w:tc>
          <w:tcPr>
            <w:tcW w:w="2908" w:type="dxa"/>
            <w:shd w:val="clear" w:color="auto" w:fill="auto"/>
          </w:tcPr>
          <w:p w:rsidR="009A0823" w:rsidRPr="004D42DE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RPr="00CD57B4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wyposażenie standardowe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- dedykowana półka stała o głęb.  min 700mm (min. 3szt.)</w:t>
            </w:r>
          </w:p>
          <w:p w:rsidR="009A0823" w:rsidRDefault="009A0823" w:rsidP="004D42DE">
            <w:r>
              <w:t>- panel wentylacyjny z min. 4 wentylatorami</w:t>
            </w:r>
          </w:p>
          <w:p w:rsidR="009A0823" w:rsidRDefault="009A0823" w:rsidP="004D42DE">
            <w:r>
              <w:t>- listwa zasilająca (minimum 6 portów)</w:t>
            </w:r>
          </w:p>
          <w:p w:rsidR="009A0823" w:rsidRDefault="009A0823" w:rsidP="004D42DE">
            <w:r>
              <w:t>- min. 2 szt. zamków do drzwi z klamką</w:t>
            </w:r>
          </w:p>
          <w:p w:rsidR="009A0823" w:rsidRDefault="009A0823" w:rsidP="004D42DE">
            <w:r>
              <w:t>- min. 4szt. kółeczek transportowych</w:t>
            </w:r>
          </w:p>
          <w:p w:rsidR="009A0823" w:rsidRDefault="009A0823" w:rsidP="004D42DE">
            <w:r>
              <w:t>- min. 4 szt. nóżek poziomujących</w:t>
            </w:r>
          </w:p>
          <w:p w:rsidR="009A0823" w:rsidRPr="00CD57B4" w:rsidRDefault="009A0823" w:rsidP="004D42DE">
            <w:r>
              <w:t>- min. 40szt. śrub montażowych z koszyczkiem</w:t>
            </w:r>
          </w:p>
        </w:tc>
        <w:tc>
          <w:tcPr>
            <w:tcW w:w="2908" w:type="dxa"/>
            <w:shd w:val="clear" w:color="auto" w:fill="auto"/>
          </w:tcPr>
          <w:p w:rsidR="009A0823" w:rsidRPr="00CD57B4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Default="009A0823" w:rsidP="009A0823"/>
    <w:p w:rsidR="009A0823" w:rsidRDefault="009A0823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ED2084" w:rsidRDefault="00ED2084" w:rsidP="009A0823"/>
    <w:p w:rsidR="009A0823" w:rsidRDefault="009A0823" w:rsidP="009A0823"/>
    <w:p w:rsidR="009A0823" w:rsidRDefault="009A0823" w:rsidP="009A0823">
      <w:r>
        <w:lastRenderedPageBreak/>
        <w:t xml:space="preserve">2. </w:t>
      </w:r>
      <w:r>
        <w:rPr>
          <w:rFonts w:ascii="Calibri" w:eastAsia="Calibri" w:hAnsi="Calibri"/>
        </w:rPr>
        <w:t xml:space="preserve">listwa zasilająca 8-gniazdowa (gniazda typu E) RACK 19” </w:t>
      </w:r>
      <w:r w:rsidRPr="00D7407E">
        <w:rPr>
          <w:rFonts w:ascii="Calibri" w:eastAsia="Calibri" w:hAnsi="Calibri"/>
          <w:b/>
        </w:rPr>
        <w:t>5</w:t>
      </w:r>
      <w:r>
        <w:rPr>
          <w:rFonts w:ascii="Calibri" w:eastAsia="Calibri" w:hAnsi="Calibri"/>
          <w:b/>
        </w:rPr>
        <w:t xml:space="preserve"> </w:t>
      </w:r>
      <w:r w:rsidRPr="00D7407E">
        <w:rPr>
          <w:rFonts w:ascii="Calibri" w:eastAsia="Calibri" w:hAnsi="Calibri"/>
          <w:b/>
        </w:rPr>
        <w:t>sztuk</w:t>
      </w:r>
    </w:p>
    <w:p w:rsidR="009A0823" w:rsidRDefault="009A0823" w:rsidP="009A082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rozmiar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1U</w:t>
            </w:r>
          </w:p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szerokość </w:t>
            </w:r>
            <w:r w:rsidR="004D42DE">
              <w:rPr>
                <w:rFonts w:ascii="Calibri" w:eastAsia="Calibri" w:hAnsi="Calibri"/>
                <w:sz w:val="22"/>
                <w:szCs w:val="22"/>
              </w:rPr>
              <w:t>maks.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482mm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ilość gniazd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min. 3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maksymalne obciążenie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3500W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prąd znamionowy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16A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sposób montowania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- montowana poziomo doczołowo do szyn rackowych w szafie</w:t>
            </w:r>
          </w:p>
          <w:p w:rsidR="009A0823" w:rsidRDefault="009A0823" w:rsidP="004D42DE">
            <w:r>
              <w:t>- mocowanie sześciopunktowe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wykończenie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wykończona wtykiem PL/FR (3-biegunowycm)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wyłącznik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podświetlany wyłącznik, zapalenie się czerwonej lampki sygnalizuje obecność napięcia w gniazdach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zasilanie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220-250V AC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współpraca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szafy wiszące, szafy dwusekcyjne, szafy stojące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Pr="00CD57B4" w:rsidRDefault="009A0823" w:rsidP="009A0823"/>
    <w:p w:rsidR="009A0823" w:rsidRDefault="009A0823" w:rsidP="009A0823"/>
    <w:p w:rsidR="009A0823" w:rsidRDefault="009A0823" w:rsidP="009A0823">
      <w:pPr>
        <w:rPr>
          <w:b/>
        </w:rPr>
      </w:pPr>
      <w:r>
        <w:t xml:space="preserve">3. Patch panel teleinformatyczny </w:t>
      </w:r>
      <w:r w:rsidRPr="00D7407E">
        <w:rPr>
          <w:b/>
        </w:rPr>
        <w:t>2</w:t>
      </w:r>
      <w:r>
        <w:rPr>
          <w:b/>
        </w:rPr>
        <w:t xml:space="preserve"> </w:t>
      </w:r>
      <w:r w:rsidRPr="00D7407E">
        <w:rPr>
          <w:b/>
        </w:rPr>
        <w:t>szt</w:t>
      </w:r>
      <w:r>
        <w:rPr>
          <w:b/>
        </w:rPr>
        <w:t>uki</w:t>
      </w:r>
    </w:p>
    <w:p w:rsidR="009A0823" w:rsidRDefault="009A0823" w:rsidP="009A0823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porty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min. 24 ekranowane porty RJ-45 kategorii 6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przeznaczenie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do szaf 19”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wysokość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0.5U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półka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półka z uchwytami ułatwiająca montaż i organizację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złącza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uniwersalne złącza IDC/LSA zgodne z T568A/B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kolor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czarny RAL9004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Pr="00D7407E" w:rsidRDefault="009A0823" w:rsidP="009A0823"/>
    <w:p w:rsidR="00F80565" w:rsidRDefault="00F80565" w:rsidP="009A0823"/>
    <w:p w:rsidR="00F80565" w:rsidRDefault="00F80565" w:rsidP="009A0823"/>
    <w:p w:rsidR="009A0823" w:rsidRDefault="009A0823" w:rsidP="009A0823">
      <w:pPr>
        <w:rPr>
          <w:b/>
        </w:rPr>
      </w:pPr>
      <w:r>
        <w:t>4. Obudowa serwerowa ATX do szaf RACK 19” 4U 1</w:t>
      </w:r>
      <w:r>
        <w:rPr>
          <w:b/>
        </w:rPr>
        <w:t xml:space="preserve"> </w:t>
      </w:r>
      <w:r w:rsidRPr="00D7407E">
        <w:rPr>
          <w:b/>
        </w:rPr>
        <w:t>szt</w:t>
      </w:r>
      <w:r>
        <w:rPr>
          <w:b/>
        </w:rPr>
        <w:t>uka</w:t>
      </w:r>
    </w:p>
    <w:p w:rsidR="009A0823" w:rsidRDefault="009A0823" w:rsidP="009A0823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Obsługiwane standardy płyt/platform serwerowych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ATX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Kieszenie i złącza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- kieszenie 3,5” wewnętrzne min. 8szt.</w:t>
            </w:r>
          </w:p>
          <w:p w:rsidR="009A0823" w:rsidRDefault="009A0823" w:rsidP="004D42DE">
            <w:r>
              <w:t>- kieszenie 3,5” zewnętrzne min. 1szt.</w:t>
            </w:r>
          </w:p>
          <w:p w:rsidR="009A0823" w:rsidRDefault="009A0823" w:rsidP="004D42DE">
            <w:r>
              <w:t>- kieszenie 5,25” zewnętrzne min. 2szt.</w:t>
            </w:r>
          </w:p>
          <w:p w:rsidR="009A0823" w:rsidRDefault="009A0823" w:rsidP="004D42DE">
            <w:r>
              <w:lastRenderedPageBreak/>
              <w:t>- sloty rozszerzeń min. 7szt.</w:t>
            </w:r>
          </w:p>
          <w:p w:rsidR="009A0823" w:rsidRDefault="009A0823" w:rsidP="004D42DE">
            <w:r>
              <w:t xml:space="preserve">- min. 2szt. USB 2.0 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wymiary</w:t>
            </w:r>
            <w:r w:rsidR="004D42DE">
              <w:t xml:space="preserve"> maks.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 xml:space="preserve">wys. x szer. x głęb. [cm] </w:t>
            </w:r>
          </w:p>
          <w:p w:rsidR="009A0823" w:rsidRDefault="009A0823" w:rsidP="004D42DE">
            <w:r>
              <w:t>17,7 x 42,7 x 45,0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Default="009A0823" w:rsidP="009A0823"/>
    <w:p w:rsidR="00F80565" w:rsidRDefault="00F80565" w:rsidP="009A0823"/>
    <w:p w:rsidR="009A0823" w:rsidRDefault="009A0823" w:rsidP="009A0823">
      <w:pPr>
        <w:rPr>
          <w:b/>
        </w:rPr>
      </w:pPr>
      <w:r>
        <w:t xml:space="preserve">5. Półka wysuwana </w:t>
      </w:r>
      <w:r w:rsidRPr="00DA2CA6">
        <w:rPr>
          <w:b/>
        </w:rPr>
        <w:t>1</w:t>
      </w:r>
      <w:r>
        <w:rPr>
          <w:b/>
        </w:rPr>
        <w:t xml:space="preserve"> </w:t>
      </w:r>
      <w:r w:rsidRPr="00D7407E">
        <w:rPr>
          <w:b/>
        </w:rPr>
        <w:t>szt</w:t>
      </w:r>
      <w:r>
        <w:rPr>
          <w:b/>
        </w:rPr>
        <w:t>uka</w:t>
      </w:r>
    </w:p>
    <w:p w:rsidR="009A0823" w:rsidRDefault="009A0823" w:rsidP="009A0823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charakterystyka</w:t>
            </w:r>
          </w:p>
        </w:tc>
        <w:tc>
          <w:tcPr>
            <w:tcW w:w="3671" w:type="dxa"/>
            <w:shd w:val="clear" w:color="auto" w:fill="auto"/>
          </w:tcPr>
          <w:p w:rsidR="009A0823" w:rsidRPr="00E75941" w:rsidRDefault="009A0823" w:rsidP="004D42DE">
            <w:r>
              <w:t>półka wysuwana dedykowana do szaf stojących serii NBC, NCE oraz NCF lub równoważnych o głębokości 600mm, 800mm i 1000 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montaż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czteropunktowy, doczołowy do szyn RACK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materiał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blacha stalowa w kolorze czarnym RAL 9004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przeznaczenie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umiejscowienie monitora oraz klawiatury w szafie RACK 19”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5 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głębokość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- całkowita przy wysuniętych półkach 800mm</w:t>
            </w:r>
          </w:p>
          <w:p w:rsidR="009A0823" w:rsidRDefault="009A0823" w:rsidP="004D42DE">
            <w:r>
              <w:t>- półki na monitor 280mm</w:t>
            </w:r>
          </w:p>
          <w:p w:rsidR="009A0823" w:rsidRDefault="009A0823" w:rsidP="004D42DE">
            <w:r>
              <w:t>- półki pod klawiaturę 185mm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mocowanie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czteropunktowe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nośność półki</w:t>
            </w:r>
            <w:r w:rsidR="004D42DE">
              <w:t xml:space="preserve"> min.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20,00kg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współpraca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szafy stojące, szafy wiszące, szafy dwusekcyjne o głębokości od 450mm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Default="009A0823" w:rsidP="009A0823"/>
    <w:p w:rsidR="009A0823" w:rsidRDefault="009A0823" w:rsidP="009A0823"/>
    <w:p w:rsidR="009A0823" w:rsidRDefault="009A0823" w:rsidP="009A0823">
      <w:pPr>
        <w:rPr>
          <w:b/>
        </w:rPr>
      </w:pPr>
      <w:r>
        <w:t xml:space="preserve">6. termostat </w:t>
      </w:r>
      <w:r w:rsidRPr="00DA2CA6">
        <w:rPr>
          <w:b/>
        </w:rPr>
        <w:t>1</w:t>
      </w:r>
      <w:r>
        <w:rPr>
          <w:b/>
        </w:rPr>
        <w:t xml:space="preserve"> </w:t>
      </w:r>
      <w:r w:rsidRPr="00D7407E">
        <w:rPr>
          <w:b/>
        </w:rPr>
        <w:t>szt</w:t>
      </w:r>
      <w:r>
        <w:rPr>
          <w:b/>
        </w:rPr>
        <w:t>uka</w:t>
      </w:r>
    </w:p>
    <w:p w:rsidR="009A0823" w:rsidRDefault="009A0823" w:rsidP="009A0823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materiał</w:t>
            </w:r>
          </w:p>
        </w:tc>
        <w:tc>
          <w:tcPr>
            <w:tcW w:w="3671" w:type="dxa"/>
            <w:shd w:val="clear" w:color="auto" w:fill="auto"/>
          </w:tcPr>
          <w:p w:rsidR="009A0823" w:rsidRPr="00E75941" w:rsidRDefault="009A0823" w:rsidP="004D42DE">
            <w:r>
              <w:t>blacha stalowa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mocowanie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doczołowe, czteropunktowe do profili szafy – w komplecie 4 śruby montażowe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wymiary</w:t>
            </w:r>
            <w:r w:rsidR="004D42DE">
              <w:t xml:space="preserve"> maks.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 xml:space="preserve">szer. x wys. x głęb. [mm] </w:t>
            </w:r>
          </w:p>
          <w:p w:rsidR="009A0823" w:rsidRDefault="009A0823" w:rsidP="004D42DE">
            <w:r>
              <w:t>482 x 44 x 10</w:t>
            </w:r>
            <w:r w:rsidR="004D42DE">
              <w:t>8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progi włączenia i wyłączenia wentylatorów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programowane w zakresie 0-50st.C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r>
              <w:t>czujnik temperatury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cyfrowy czujnik bieżącej temperatury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9A0823" w:rsidRDefault="009A0823" w:rsidP="009A0823"/>
    <w:p w:rsidR="00E72641" w:rsidRDefault="00E72641" w:rsidP="009A0823"/>
    <w:p w:rsidR="00E72641" w:rsidRDefault="00E72641" w:rsidP="009A0823"/>
    <w:p w:rsidR="00E72641" w:rsidRDefault="00E72641" w:rsidP="009A0823"/>
    <w:p w:rsidR="00E72641" w:rsidRDefault="00E72641" w:rsidP="009A0823"/>
    <w:p w:rsidR="00E72641" w:rsidRDefault="00E72641" w:rsidP="009A0823"/>
    <w:p w:rsidR="009A0823" w:rsidRPr="00F80565" w:rsidRDefault="00F80565" w:rsidP="00F80565">
      <w:pPr>
        <w:spacing w:before="100" w:beforeAutospacing="1" w:after="100" w:afterAutospacing="1"/>
      </w:pPr>
      <w:r>
        <w:lastRenderedPageBreak/>
        <w:t>7. wyposażenie dodatkowe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zestaw montażowy – śruby do szaf RACK 20 kompletów</w:t>
            </w:r>
          </w:p>
        </w:tc>
        <w:tc>
          <w:tcPr>
            <w:tcW w:w="3671" w:type="dxa"/>
            <w:shd w:val="clear" w:color="auto" w:fill="auto"/>
          </w:tcPr>
          <w:p w:rsidR="009A0823" w:rsidRPr="00E75941" w:rsidRDefault="009A0823" w:rsidP="004D42DE">
            <w:r>
              <w:t>TAK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kabel </w:t>
            </w:r>
            <w:r w:rsidRPr="006E4BA7">
              <w:rPr>
                <w:rFonts w:ascii="Calibri" w:eastAsia="Calibri" w:hAnsi="Calibri"/>
                <w:b/>
                <w:sz w:val="22"/>
                <w:szCs w:val="22"/>
              </w:rPr>
              <w:t>10szt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uk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>
              <w:t>- długość 1 metr</w:t>
            </w:r>
          </w:p>
          <w:p w:rsidR="009A0823" w:rsidRDefault="009A0823" w:rsidP="004D42DE">
            <w:r>
              <w:t>- osłony z odciążkami i z zabezpieczeniem przed załamaniem</w:t>
            </w:r>
          </w:p>
          <w:p w:rsidR="009A0823" w:rsidRDefault="009A0823" w:rsidP="004D42DE">
            <w:r>
              <w:t>- budowa: 4 x 2 AWG 26/7, skrętka</w:t>
            </w:r>
          </w:p>
          <w:p w:rsidR="009A0823" w:rsidRDefault="009A0823" w:rsidP="004D42DE">
            <w:r>
              <w:t>- opakowanie: torba poliestrowa</w:t>
            </w:r>
          </w:p>
          <w:p w:rsidR="009A0823" w:rsidRDefault="009A0823" w:rsidP="004D42DE">
            <w:r>
              <w:t>- kategoria 6</w:t>
            </w:r>
          </w:p>
          <w:p w:rsidR="009A0823" w:rsidRDefault="009A0823" w:rsidP="004D42DE">
            <w:r>
              <w:t>- kolor żółty</w:t>
            </w:r>
          </w:p>
          <w:p w:rsidR="009A0823" w:rsidRDefault="009A0823" w:rsidP="004D42DE">
            <w:r>
              <w:t>- materiał izolacji kabla: PVC - polyvinyl chloride</w:t>
            </w:r>
          </w:p>
          <w:p w:rsidR="009A0823" w:rsidRDefault="009A0823" w:rsidP="004D42DE">
            <w:r>
              <w:t>- osłonka zalewana</w:t>
            </w:r>
          </w:p>
          <w:p w:rsidR="009A0823" w:rsidRDefault="009A0823" w:rsidP="004D42DE">
            <w:r>
              <w:t>- typ okablowania: UTP - nieekranowana skrętka 4 parowa</w:t>
            </w:r>
          </w:p>
          <w:p w:rsidR="009A0823" w:rsidRDefault="009A0823" w:rsidP="004D42DE">
            <w:r>
              <w:t>- wtyczka obustronnie RJ45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Pr="006E4BA7" w:rsidRDefault="009A0823" w:rsidP="004D42DE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kabel sieciowy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1 sztuka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pPr>
              <w:spacing w:before="100" w:beforeAutospacing="1" w:after="100" w:afterAutospacing="1"/>
            </w:pPr>
            <w:r>
              <w:t>- przewód: goły drut miedziany AWG 23/1, drut miedziany 0,57 mm nom.</w:t>
            </w:r>
          </w:p>
          <w:p w:rsidR="009A0823" w:rsidRDefault="009A0823" w:rsidP="004D42DE">
            <w:r>
              <w:t>- długość min. 500m</w:t>
            </w:r>
          </w:p>
          <w:p w:rsidR="009A0823" w:rsidRDefault="009A0823" w:rsidP="004D42DE">
            <w:r>
              <w:t>- kategoria 7</w:t>
            </w:r>
          </w:p>
          <w:p w:rsidR="009A0823" w:rsidRDefault="009A0823" w:rsidP="004D42DE">
            <w:r>
              <w:t>- rodzaj : skrętka</w:t>
            </w:r>
          </w:p>
          <w:p w:rsidR="009A0823" w:rsidRDefault="009A0823" w:rsidP="004D42DE">
            <w:r>
              <w:t>- złącza : brak</w:t>
            </w:r>
          </w:p>
          <w:p w:rsidR="009A0823" w:rsidRDefault="009A0823" w:rsidP="004D42DE">
            <w:r>
              <w:t>- ekranowanie: S/FTP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42DE" w:rsidRDefault="004D42DE" w:rsidP="009A0823"/>
    <w:p w:rsidR="00E72641" w:rsidRDefault="00E72641" w:rsidP="009A0823"/>
    <w:p w:rsidR="009A0823" w:rsidRDefault="009A0823" w:rsidP="009A0823">
      <w:pPr>
        <w:rPr>
          <w:b/>
        </w:rPr>
      </w:pPr>
      <w:r>
        <w:t xml:space="preserve">8. </w:t>
      </w:r>
      <w:r w:rsidRPr="00E24D9B">
        <w:t>Przełącznik sieciowy</w:t>
      </w:r>
      <w:r>
        <w:t xml:space="preserve"> </w:t>
      </w:r>
      <w:r w:rsidRPr="005E5CEA">
        <w:rPr>
          <w:b/>
        </w:rPr>
        <w:t>1 sztuka</w:t>
      </w:r>
    </w:p>
    <w:p w:rsidR="00ED2084" w:rsidRDefault="00ED2084" w:rsidP="009A0823">
      <w:pPr>
        <w:rPr>
          <w:b/>
        </w:rPr>
      </w:pPr>
    </w:p>
    <w:p w:rsidR="00ED2084" w:rsidRPr="00ED2084" w:rsidRDefault="00ED2084" w:rsidP="009A0823">
      <w:pPr>
        <w:rPr>
          <w:u w:val="single"/>
        </w:rPr>
      </w:pPr>
      <w:r w:rsidRPr="00ED2084">
        <w:rPr>
          <w:u w:val="single"/>
        </w:rPr>
        <w:t>Zakup ze stawką podatku VAT 0% po uzyskaniu potwierdzenia z Ministerstwa Zdrowia.</w:t>
      </w:r>
    </w:p>
    <w:p w:rsidR="009A0823" w:rsidRPr="00E24D9B" w:rsidRDefault="009A0823" w:rsidP="009A082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75"/>
        <w:gridCol w:w="3671"/>
        <w:gridCol w:w="2908"/>
      </w:tblGrid>
      <w:tr w:rsidR="009A0823" w:rsidTr="004D42DE">
        <w:tc>
          <w:tcPr>
            <w:tcW w:w="534" w:type="dxa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Lp.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Parametry graniczny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32021">
              <w:rPr>
                <w:rFonts w:ascii="Calibri" w:eastAsia="Calibri" w:hAnsi="Calibri"/>
                <w:sz w:val="22"/>
                <w:szCs w:val="22"/>
              </w:rPr>
              <w:t>Parametr oferowany opisać</w:t>
            </w: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montaż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 w:rsidRPr="00EA0713">
              <w:t>możliwość montażu w szafie 19”, wysokość 1RU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akcesoria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niezbędne do uruchomienia przez Zamawiającego tj. kabel zasilający, mocowania typu rack, śruby montażowe, sterowniki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zakres temperatur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Urządzenie przeznaczone do pracy w temperaturze: 0</w:t>
            </w:r>
            <w:r>
              <w:rPr>
                <w:rFonts w:ascii="Cambria Math" w:hAnsi="Cambria Math" w:cs="Cambria Math"/>
              </w:rPr>
              <w:t xml:space="preserve">℃ - </w:t>
            </w:r>
            <w:r>
              <w:t>40</w:t>
            </w:r>
            <w:r>
              <w:rPr>
                <w:rFonts w:ascii="Cambria Math" w:hAnsi="Cambria Math" w:cs="Cambria Math"/>
              </w:rPr>
              <w:t>℃ z d</w:t>
            </w:r>
            <w:r>
              <w:t>opuszczalną wilgotnością powietrza: 10%-90%, niekondensującą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zasilanie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możliwość pracy z zasilaniem w zakresie 100-240VAC, 50/60Hz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maksymalny pobór mocy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332770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color w:val="548DD4" w:themeColor="text2" w:themeTint="99"/>
              </w:rPr>
              <w:t>67</w:t>
            </w:r>
            <w:r w:rsidR="009A0823" w:rsidRPr="00332770">
              <w:rPr>
                <w:rFonts w:ascii="Calibri" w:eastAsia="Calibri" w:hAnsi="Calibri"/>
                <w:color w:val="548DD4" w:themeColor="text2" w:themeTint="99"/>
              </w:rPr>
              <w:t>W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porty (minimum)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 xml:space="preserve">24szt.  RJ45 (10/100/1000Mb/s) z autonegocjacją, 4szt. porty combo </w:t>
            </w:r>
            <w:r>
              <w:lastRenderedPageBreak/>
              <w:t>SFP oraz 4 szt. porty SFP+ 10GE (minimum dwa wbudowane), 1szt. port konsoli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7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Urządzenie powinno posiadać możliwość pracy w stosie, umożliwiać zestawienie stosu z 7 innymi urządzeniami, przepustowość portów stackujących 20Gb/s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prędkości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Urządzenie pracujące z wydajnością przełączania 128Gb/s i szybkością przekierowania pakietów 95Mp/s dla przełącznika samodzielnego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przepustowość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320Gb/s przy 8 jednostkach w stosie protokołu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Urządzenie musi posiadać obsługę 32K adresów MAC, posiadać bufor pakietów 16Mb oraz obsługę ramek jumbo 10240B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Urządzenie musi zapewniać obsługę co najmniej 4000 sieci VLAN i 4000 identyfikatorów VLAN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 w:rsidRPr="000748C6">
              <w:t>Urządzenie musi zapewnić obsługę co najmniej następujących funkcjonalności /protokołów związanych z warstwą drugą modelu ISO/OSI:</w:t>
            </w:r>
            <w:r>
              <w:t xml:space="preserve"> </w:t>
            </w:r>
          </w:p>
          <w:p w:rsidR="009A0823" w:rsidRDefault="009A0823" w:rsidP="004D42DE">
            <w:r>
              <w:t xml:space="preserve">- IEEE 802.3i, </w:t>
            </w:r>
          </w:p>
          <w:p w:rsidR="009A0823" w:rsidRDefault="009A0823" w:rsidP="004D42DE">
            <w:r>
              <w:t xml:space="preserve">- IEEE 802.3u, </w:t>
            </w:r>
          </w:p>
          <w:p w:rsidR="009A0823" w:rsidRDefault="009A0823" w:rsidP="004D42DE">
            <w:r>
              <w:t xml:space="preserve">- IEEE 802.3ab,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IEEE802.3z,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802.3ae,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802.3ad,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802.3x,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802.1d,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802.1s,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802.1w,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802.1q,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 xml:space="preserve">- IEEE 802.1x,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IEEE 802.1p,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IGMP Snooping V1/V2/V3,</w:t>
            </w:r>
          </w:p>
          <w:p w:rsidR="009A0823" w:rsidRDefault="009A0823" w:rsidP="004D42DE">
            <w:r>
              <w:t>- Filtrowanie/ochrona BPDU,</w:t>
            </w:r>
          </w:p>
          <w:p w:rsidR="009A0823" w:rsidRDefault="009A0823" w:rsidP="004D42DE">
            <w:r>
              <w:t>- TC/Root Protect,</w:t>
            </w:r>
          </w:p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- Funkcja wykrywania pętli zwrotnych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2175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 w:rsidRPr="000748C6">
              <w:t>Urządzenie musi zapewnić obsługę co najmniej następujących funkcjonalności /prot</w:t>
            </w:r>
            <w:r>
              <w:t>okołów związanych z warstwą trzeci</w:t>
            </w:r>
            <w:r w:rsidRPr="000748C6">
              <w:t>ą modelu ISO/OSI:</w:t>
            </w:r>
            <w:r>
              <w:t xml:space="preserve"> 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Routing statyczny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lastRenderedPageBreak/>
              <w:t>- RIP v1, v2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OSPF v2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ECMP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PIM-SM/PIM-DM/IGMP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Serwer DHCP/DHCP Relay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ARP Proxy</w:t>
            </w:r>
          </w:p>
          <w:p w:rsidR="009A0823" w:rsidRPr="004B7E29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t>- VRRP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14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 w:rsidRPr="003A04F0">
              <w:t>Urządzenie musi zapewniać wsparcie co najmniej dla następujących funkcjonalności/protokołów związanych z zapewnieniem jakości usług w sieci (QoS):</w:t>
            </w:r>
          </w:p>
          <w:p w:rsidR="009A0823" w:rsidRPr="000748C6" w:rsidRDefault="009A0823" w:rsidP="004D42DE">
            <w:pPr>
              <w:spacing w:line="276" w:lineRule="auto"/>
            </w:pPr>
            <w:r>
              <w:t>-p</w:t>
            </w:r>
            <w:r w:rsidRPr="003A04F0">
              <w:t>riorytetowanie ruchu CoS/DSCP w oparciu o standard 802.1p</w:t>
            </w:r>
            <w:r w:rsidRPr="003A04F0">
              <w:br/>
            </w:r>
            <w:r>
              <w:t>- o</w:t>
            </w:r>
            <w:r w:rsidRPr="003A04F0">
              <w:t>bsługa 8 kolejek priorytetów</w:t>
            </w:r>
            <w:r w:rsidRPr="003A04F0">
              <w:br/>
            </w:r>
            <w:r>
              <w:t>9- u</w:t>
            </w:r>
            <w:r w:rsidRPr="003A04F0">
              <w:t>stalanie kolejki priorytetów: SP, WRR, SP+WRR</w:t>
            </w:r>
            <w:r w:rsidRPr="003A04F0">
              <w:br/>
            </w:r>
            <w:r>
              <w:t>- l</w:t>
            </w:r>
            <w:r w:rsidRPr="003A04F0">
              <w:t>imit transferu danych zależny od portu i przepływu danych</w:t>
            </w:r>
            <w:r w:rsidRPr="003A04F0">
              <w:br/>
            </w:r>
            <w:r>
              <w:t xml:space="preserve">- </w:t>
            </w:r>
            <w:r w:rsidRPr="003A04F0">
              <w:t>Voice VLAN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 w:rsidRPr="00F80ACE">
              <w:t>Urządzenie musi zapewniać wsparcie co najmniej dla następujących funkcjonalności/protokołów związanych z bezpieczeństwem:</w:t>
            </w:r>
          </w:p>
          <w:p w:rsidR="009A0823" w:rsidRDefault="009A0823" w:rsidP="004D42DE">
            <w:r>
              <w:t>- filtrowanie pakietów, oparte o źródłowe i docelowe adresy MAC  warstw L2-L4, adres IP, porty TCP/UDP, standard 802.1p, DSCP, protocol and VLAN ID, mozliwość ustalenia zakres czasu</w:t>
            </w:r>
          </w:p>
          <w:p w:rsidR="009A0823" w:rsidRDefault="009A0823" w:rsidP="004D42DE">
            <w:r>
              <w:t>- wiązanie IP-MAC-Port-VID</w:t>
            </w:r>
          </w:p>
          <w:p w:rsidR="009A0823" w:rsidRDefault="009A0823" w:rsidP="004D42DE">
            <w:r>
              <w:t>- uwierzytelnianie oparte o standard IEEE 802.1X (w zależności od portu/adresu MAC), Radius, Guest VLAN</w:t>
            </w:r>
          </w:p>
          <w:p w:rsidR="009A0823" w:rsidRDefault="009A0823" w:rsidP="004D42DE">
            <w:r>
              <w:t>-ochrona przed atakami DoS</w:t>
            </w:r>
          </w:p>
          <w:p w:rsidR="009A0823" w:rsidRDefault="009A0823" w:rsidP="004D42DE">
            <w:r>
              <w:t>-dynamiczna ochrona przed atakami ARP (DAI)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-SSH v1/v2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-SSL v2/v3/TLSv1</w:t>
            </w:r>
          </w:p>
          <w:p w:rsidR="009A0823" w:rsidRDefault="009A0823" w:rsidP="004D42DE">
            <w:r>
              <w:t>-zabezpieczenia portów</w:t>
            </w:r>
          </w:p>
          <w:p w:rsidR="009A0823" w:rsidRPr="003A04F0" w:rsidRDefault="009A0823" w:rsidP="004D42DE">
            <w:r>
              <w:t>- Broadcast/Multicast/Unknown-unicast Storm Control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możliwości urządzenia</w:t>
            </w:r>
          </w:p>
        </w:tc>
        <w:tc>
          <w:tcPr>
            <w:tcW w:w="3671" w:type="dxa"/>
            <w:shd w:val="clear" w:color="auto" w:fill="auto"/>
          </w:tcPr>
          <w:p w:rsidR="009A0823" w:rsidRDefault="009A0823" w:rsidP="004D42DE">
            <w:r w:rsidRPr="00F80ACE">
              <w:t xml:space="preserve">Urządzenie musi zapewniać wsparcie co najmniej dla następujących funkcjonalności/protokołów związanych </w:t>
            </w:r>
            <w:r>
              <w:t>z zarządzaniem</w:t>
            </w:r>
            <w:r w:rsidRPr="00F80ACE">
              <w:t>:</w:t>
            </w:r>
          </w:p>
          <w:p w:rsidR="009A0823" w:rsidRDefault="009A0823" w:rsidP="004D42DE">
            <w:r>
              <w:lastRenderedPageBreak/>
              <w:t>- interfejs przeglądarki internetowej GUI, interfejs linii poleceń CLI</w:t>
            </w:r>
          </w:p>
          <w:p w:rsidR="009A0823" w:rsidRDefault="009A0823" w:rsidP="004D42DE">
            <w:r>
              <w:t>- SNMP v1/v2c/v3, zgodne z publicznymi i prywatnymi bibliotekami MIB TP-LINK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RMON (grupy 1, 2, 3, 9)</w:t>
            </w:r>
          </w:p>
          <w:p w:rsidR="009A0823" w:rsidRPr="009235E4" w:rsidRDefault="009A0823" w:rsidP="004D42DE">
            <w:pPr>
              <w:rPr>
                <w:lang w:val="en-US"/>
              </w:rPr>
            </w:pPr>
            <w:r w:rsidRPr="009235E4">
              <w:rPr>
                <w:lang w:val="en-US"/>
              </w:rPr>
              <w:t>- klient DHCP/BOOTP, DHCP Snooping, DHCP Option82</w:t>
            </w:r>
          </w:p>
          <w:p w:rsidR="009A0823" w:rsidRDefault="009A0823" w:rsidP="004D42DE">
            <w:r>
              <w:t>- monitorowanie CPU</w:t>
            </w:r>
          </w:p>
          <w:p w:rsidR="009A0823" w:rsidRDefault="009A0823" w:rsidP="004D42DE">
            <w:r>
              <w:t>- Port Mirroring</w:t>
            </w:r>
          </w:p>
          <w:p w:rsidR="009A0823" w:rsidRDefault="009A0823" w:rsidP="004D42DE">
            <w:r>
              <w:t>- synchronizacja czasu SNTP</w:t>
            </w:r>
          </w:p>
          <w:p w:rsidR="009A0823" w:rsidRDefault="009A0823" w:rsidP="004D42DE">
            <w:r>
              <w:t>- zintegrowany protokół NDP/NTDP</w:t>
            </w:r>
          </w:p>
          <w:p w:rsidR="009A0823" w:rsidRDefault="009A0823" w:rsidP="004D42DE">
            <w:r>
              <w:t>- aktualizacja firmwar</w:t>
            </w:r>
            <w:r w:rsidR="00F80565">
              <w:t xml:space="preserve">e </w:t>
            </w:r>
            <w:r>
              <w:t>: poprzez protokół TFTP oraz przeglądarkę internetową</w:t>
            </w:r>
          </w:p>
          <w:p w:rsidR="009A0823" w:rsidRDefault="009A0823" w:rsidP="004D42DE">
            <w:r>
              <w:t>- diagnostyka: test VCT</w:t>
            </w:r>
          </w:p>
          <w:p w:rsidR="009A0823" w:rsidRDefault="009A0823" w:rsidP="004D42DE">
            <w:r>
              <w:t>- logi systemu i publiczne biblioteki MIB</w:t>
            </w:r>
          </w:p>
          <w:p w:rsidR="009A0823" w:rsidRPr="00F80ACE" w:rsidRDefault="009A0823" w:rsidP="004D42DE">
            <w:r>
              <w:t>- funkcja duplikowania obrazu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</w:p>
        </w:tc>
      </w:tr>
      <w:tr w:rsidR="009A0823" w:rsidTr="004D42DE">
        <w:tc>
          <w:tcPr>
            <w:tcW w:w="534" w:type="dxa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17</w:t>
            </w:r>
          </w:p>
        </w:tc>
        <w:tc>
          <w:tcPr>
            <w:tcW w:w="2175" w:type="dxa"/>
            <w:shd w:val="clear" w:color="auto" w:fill="auto"/>
          </w:tcPr>
          <w:p w:rsidR="009A0823" w:rsidRDefault="009A0823" w:rsidP="004D42D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certyfikat</w:t>
            </w:r>
          </w:p>
        </w:tc>
        <w:tc>
          <w:tcPr>
            <w:tcW w:w="3671" w:type="dxa"/>
            <w:shd w:val="clear" w:color="auto" w:fill="auto"/>
          </w:tcPr>
          <w:p w:rsidR="009A0823" w:rsidRPr="00F80ACE" w:rsidRDefault="009A0823" w:rsidP="004D42DE">
            <w:r>
              <w:t>Urządzenie posiadające certyfikat CE oraz certyfikat zgodności z dyrektywą RoHS</w:t>
            </w:r>
            <w:r w:rsidR="00F80565">
              <w:t xml:space="preserve"> lub równoważne</w:t>
            </w:r>
          </w:p>
        </w:tc>
        <w:tc>
          <w:tcPr>
            <w:tcW w:w="2908" w:type="dxa"/>
            <w:shd w:val="clear" w:color="auto" w:fill="auto"/>
          </w:tcPr>
          <w:p w:rsidR="009A0823" w:rsidRPr="00E32021" w:rsidRDefault="009A0823" w:rsidP="004D42DE">
            <w:pPr>
              <w:rPr>
                <w:rFonts w:ascii="Calibri" w:eastAsia="Calibri" w:hAnsi="Calibri"/>
              </w:rPr>
            </w:pPr>
          </w:p>
        </w:tc>
      </w:tr>
    </w:tbl>
    <w:p w:rsidR="009A0823" w:rsidRDefault="009A0823" w:rsidP="009C68B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ED2084" w:rsidRDefault="00ED2084" w:rsidP="004D42DE">
      <w:pPr>
        <w:spacing w:after="200" w:line="276" w:lineRule="auto"/>
      </w:pPr>
    </w:p>
    <w:p w:rsidR="00ED2084" w:rsidRDefault="00ED2084" w:rsidP="004D42DE">
      <w:pPr>
        <w:spacing w:after="200" w:line="276" w:lineRule="auto"/>
      </w:pPr>
      <w:r>
        <w:t>Zamawiający:</w:t>
      </w:r>
    </w:p>
    <w:p w:rsidR="00F80565" w:rsidRDefault="00F80565" w:rsidP="004D42DE">
      <w:pPr>
        <w:spacing w:after="200" w:line="276" w:lineRule="auto"/>
      </w:pPr>
      <w:r w:rsidRPr="004B7E29">
        <w:t>Uniwersytet Medyczny we Wrocławiu</w:t>
      </w:r>
      <w:r w:rsidRPr="004B7E29">
        <w:br/>
      </w:r>
      <w:r>
        <w:t>Zakład Radiologii Ogólnej, Zabiegowej i Neuroradiologii</w:t>
      </w:r>
      <w:r>
        <w:br/>
        <w:t>ul. Borowska 213</w:t>
      </w:r>
      <w:r>
        <w:br/>
        <w:t>50-556 Wrocław</w:t>
      </w: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4D42DE">
      <w:pPr>
        <w:spacing w:after="200" w:line="276" w:lineRule="auto"/>
      </w:pPr>
    </w:p>
    <w:p w:rsidR="001C6F9F" w:rsidRDefault="001C6F9F" w:rsidP="001C6F9F">
      <w:pPr>
        <w:pStyle w:val="Nagwek1"/>
        <w:tabs>
          <w:tab w:val="left" w:pos="0"/>
        </w:tabs>
        <w:ind w:left="6379" w:hanging="141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 xml:space="preserve">Załącznik nr 3 </w:t>
      </w:r>
    </w:p>
    <w:p w:rsidR="001C6F9F" w:rsidRDefault="001C6F9F" w:rsidP="001C6F9F">
      <w:pPr>
        <w:ind w:left="4963"/>
        <w:jc w:val="both"/>
        <w:rPr>
          <w:sz w:val="16"/>
          <w:szCs w:val="16"/>
        </w:rPr>
      </w:pPr>
      <w:r>
        <w:rPr>
          <w:sz w:val="16"/>
          <w:szCs w:val="16"/>
        </w:rPr>
        <w:t>do „Regulaminu udzielania zamówień”</w:t>
      </w:r>
    </w:p>
    <w:p w:rsidR="001C6F9F" w:rsidRDefault="001C6F9F" w:rsidP="001C6F9F">
      <w:pPr>
        <w:ind w:left="496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(zarządzenie </w:t>
      </w:r>
      <w:r>
        <w:rPr>
          <w:color w:val="000000"/>
          <w:sz w:val="16"/>
          <w:szCs w:val="16"/>
        </w:rPr>
        <w:t xml:space="preserve">nr </w:t>
      </w:r>
      <w:r>
        <w:rPr>
          <w:sz w:val="16"/>
          <w:szCs w:val="16"/>
        </w:rPr>
        <w:t xml:space="preserve"> 41/XV R/2014</w:t>
      </w:r>
    </w:p>
    <w:p w:rsidR="001C6F9F" w:rsidRDefault="001C6F9F" w:rsidP="001C6F9F">
      <w:pPr>
        <w:ind w:left="4963"/>
        <w:jc w:val="both"/>
        <w:rPr>
          <w:sz w:val="16"/>
          <w:szCs w:val="16"/>
        </w:rPr>
      </w:pPr>
      <w:r>
        <w:rPr>
          <w:sz w:val="16"/>
          <w:szCs w:val="16"/>
        </w:rPr>
        <w:t>z dnia 25 czerwca 2014 r.)</w:t>
      </w:r>
    </w:p>
    <w:p w:rsidR="001C6F9F" w:rsidRDefault="001C6F9F" w:rsidP="001C6F9F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1C6F9F" w:rsidTr="00AE5921">
        <w:trPr>
          <w:jc w:val="center"/>
        </w:trPr>
        <w:tc>
          <w:tcPr>
            <w:tcW w:w="4606" w:type="dxa"/>
          </w:tcPr>
          <w:p w:rsidR="001C6F9F" w:rsidRDefault="001C6F9F" w:rsidP="00AE5921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1C6F9F" w:rsidRDefault="001C6F9F" w:rsidP="00AE5921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1C6F9F" w:rsidRDefault="001C6F9F" w:rsidP="00AE5921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1C6F9F" w:rsidRDefault="001C6F9F" w:rsidP="00AE5921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1C6F9F" w:rsidRDefault="001C6F9F" w:rsidP="00AE5921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1C6F9F" w:rsidRDefault="001C6F9F" w:rsidP="001C6F9F">
      <w:pPr>
        <w:ind w:firstLine="18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C6F9F" w:rsidRDefault="001C6F9F" w:rsidP="001C6F9F">
      <w:pPr>
        <w:rPr>
          <w:sz w:val="16"/>
          <w:szCs w:val="16"/>
          <w:lang w:val="de-DE"/>
        </w:rPr>
      </w:pPr>
    </w:p>
    <w:p w:rsidR="001C6F9F" w:rsidRDefault="001C6F9F" w:rsidP="001C6F9F">
      <w:pPr>
        <w:pStyle w:val="Bezodstpw"/>
        <w:rPr>
          <w:lang w:val="de-DE"/>
        </w:rPr>
      </w:pPr>
      <w:r>
        <w:rPr>
          <w:lang w:val="de-DE"/>
        </w:rPr>
        <w:t>nr tel./faksu</w:t>
      </w:r>
    </w:p>
    <w:p w:rsidR="001C6F9F" w:rsidRDefault="001C6F9F" w:rsidP="001C6F9F">
      <w:pPr>
        <w:pStyle w:val="Bezodstpw"/>
        <w:rPr>
          <w:sz w:val="20"/>
          <w:lang w:val="de-DE"/>
        </w:rPr>
      </w:pPr>
      <w:r>
        <w:rPr>
          <w:lang w:val="de-DE"/>
        </w:rPr>
        <w:t>REGON                             NIP</w:t>
      </w:r>
    </w:p>
    <w:p w:rsidR="001C6F9F" w:rsidRDefault="001C6F9F" w:rsidP="001C6F9F">
      <w:pPr>
        <w:pStyle w:val="Bezodstpw"/>
        <w:rPr>
          <w:lang w:val="pt-BR"/>
        </w:rPr>
      </w:pPr>
      <w:r>
        <w:rPr>
          <w:lang w:val="de-DE"/>
        </w:rPr>
        <w:t xml:space="preserve">http                                     </w:t>
      </w:r>
      <w:r>
        <w:rPr>
          <w:lang w:val="pt-BR"/>
        </w:rPr>
        <w:t>e-mail</w:t>
      </w:r>
    </w:p>
    <w:p w:rsidR="001C6F9F" w:rsidRDefault="001C6F9F" w:rsidP="001C6F9F">
      <w:pPr>
        <w:pStyle w:val="Bezodstpw"/>
        <w:rPr>
          <w:sz w:val="16"/>
          <w:lang w:val="pt-BR"/>
        </w:rPr>
      </w:pPr>
    </w:p>
    <w:p w:rsidR="001C6F9F" w:rsidRDefault="001C6F9F" w:rsidP="001C6F9F">
      <w:pPr>
        <w:pStyle w:val="Bezodstpw"/>
        <w:rPr>
          <w:lang w:val="pt-BR"/>
        </w:rPr>
      </w:pPr>
      <w:r>
        <w:rPr>
          <w:lang w:val="pt-BR"/>
        </w:rPr>
        <w:t>O F E R T A</w:t>
      </w:r>
    </w:p>
    <w:p w:rsidR="001C6F9F" w:rsidRDefault="001C6F9F" w:rsidP="001C6F9F">
      <w:pPr>
        <w:pStyle w:val="Bezodstpw"/>
        <w:rPr>
          <w:lang w:val="en-US"/>
        </w:rPr>
      </w:pPr>
    </w:p>
    <w:p w:rsidR="001C6F9F" w:rsidRPr="001C6F9F" w:rsidRDefault="001C6F9F" w:rsidP="001C6F9F">
      <w:pPr>
        <w:pStyle w:val="Bezodstpw"/>
        <w:rPr>
          <w:b/>
          <w:bCs/>
        </w:rPr>
      </w:pPr>
      <w:r>
        <w:rPr>
          <w:sz w:val="20"/>
        </w:rPr>
        <w:t xml:space="preserve">Nawiązując do zaproszenia z dnia 27.09.2018 na: </w:t>
      </w:r>
      <w:r>
        <w:rPr>
          <w:b/>
          <w:bCs/>
        </w:rPr>
        <w:t>Dostawę, montaż i uruchomienie</w:t>
      </w:r>
      <w:r>
        <w:rPr>
          <w:b/>
          <w:bCs/>
        </w:rPr>
        <w:br/>
        <w:t>pr</w:t>
      </w:r>
      <w:r w:rsidRPr="00F80565">
        <w:rPr>
          <w:b/>
          <w:bCs/>
        </w:rPr>
        <w:t>zełącznik</w:t>
      </w:r>
      <w:r>
        <w:rPr>
          <w:b/>
          <w:bCs/>
        </w:rPr>
        <w:t>a</w:t>
      </w:r>
      <w:r w:rsidRPr="00F80565">
        <w:rPr>
          <w:b/>
          <w:bCs/>
        </w:rPr>
        <w:t xml:space="preserve"> sieciow</w:t>
      </w:r>
      <w:r>
        <w:rPr>
          <w:b/>
          <w:bCs/>
        </w:rPr>
        <w:t>ego</w:t>
      </w:r>
      <w:r w:rsidRPr="00F80565">
        <w:rPr>
          <w:b/>
          <w:bCs/>
        </w:rPr>
        <w:t>, szaf</w:t>
      </w:r>
      <w:r>
        <w:rPr>
          <w:b/>
          <w:bCs/>
        </w:rPr>
        <w:t>y</w:t>
      </w:r>
      <w:r w:rsidRPr="00F80565">
        <w:rPr>
          <w:b/>
          <w:bCs/>
        </w:rPr>
        <w:t xml:space="preserve"> RACK z wyposażeniem</w:t>
      </w:r>
    </w:p>
    <w:p w:rsidR="001C6F9F" w:rsidRDefault="001C6F9F" w:rsidP="001C6F9F">
      <w:pPr>
        <w:jc w:val="both"/>
        <w:rPr>
          <w:rFonts w:ascii="Verdana" w:hAnsi="Verdana"/>
          <w:sz w:val="22"/>
        </w:rPr>
      </w:pPr>
    </w:p>
    <w:p w:rsidR="001C6F9F" w:rsidRDefault="001C6F9F" w:rsidP="001C6F9F">
      <w:pPr>
        <w:ind w:right="-650"/>
        <w:jc w:val="both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2"/>
        </w:rPr>
        <w:t>oferujemy wykonanie wyżej wymienionych dostaw/</w:t>
      </w:r>
      <w:r w:rsidRPr="005254FD">
        <w:rPr>
          <w:rFonts w:ascii="Verdana" w:hAnsi="Verdana"/>
          <w:strike/>
          <w:sz w:val="22"/>
        </w:rPr>
        <w:t>usług/robót</w:t>
      </w:r>
      <w:r>
        <w:rPr>
          <w:rFonts w:ascii="Verdana" w:hAnsi="Verdana"/>
          <w:sz w:val="22"/>
        </w:rPr>
        <w:t xml:space="preserve"> budowlanych</w:t>
      </w:r>
      <w:r>
        <w:rPr>
          <w:rFonts w:ascii="Verdana" w:hAnsi="Verdana"/>
          <w:color w:val="000000"/>
          <w:sz w:val="22"/>
        </w:rPr>
        <w:t xml:space="preserve">* </w:t>
      </w:r>
      <w:r>
        <w:rPr>
          <w:rFonts w:ascii="Verdana" w:hAnsi="Verdana"/>
          <w:color w:val="000000"/>
          <w:sz w:val="20"/>
        </w:rPr>
        <w:t>(</w:t>
      </w:r>
      <w:r>
        <w:rPr>
          <w:rFonts w:ascii="Verdana" w:hAnsi="Verdana"/>
          <w:sz w:val="20"/>
          <w:szCs w:val="16"/>
        </w:rPr>
        <w:t>niewłaściwe skreślić)</w:t>
      </w:r>
    </w:p>
    <w:p w:rsidR="001C6F9F" w:rsidRDefault="001C6F9F" w:rsidP="001C6F9F">
      <w:pPr>
        <w:pStyle w:val="Tekstpodstawowywcity2"/>
        <w:ind w:left="3540"/>
        <w:rPr>
          <w:rFonts w:ascii="Verdana" w:hAnsi="Verdana"/>
          <w:sz w:val="22"/>
          <w:szCs w:val="22"/>
        </w:rPr>
      </w:pP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1C6F9F" w:rsidTr="00AE5921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1C6F9F" w:rsidTr="00AE5921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1C6F9F" w:rsidRDefault="001C6F9F" w:rsidP="00AE5921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1C6F9F" w:rsidTr="00AE5921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F9F" w:rsidRDefault="001C6F9F" w:rsidP="00AE5921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1C6F9F" w:rsidRDefault="001C6F9F" w:rsidP="00AE5921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1C6F9F" w:rsidTr="00AE5921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1C6F9F" w:rsidRDefault="001C6F9F" w:rsidP="00AE5921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color w:val="000000"/>
                <w:w w:val="90"/>
                <w:sz w:val="20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1C6F9F" w:rsidTr="00AE5921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9F" w:rsidRDefault="001C6F9F" w:rsidP="00AE5921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1C6F9F" w:rsidRDefault="001C6F9F" w:rsidP="00AE5921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1C6F9F" w:rsidRDefault="001C6F9F" w:rsidP="00AE5921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1C6F9F" w:rsidRDefault="001C6F9F" w:rsidP="00AE5921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C6F9F" w:rsidRDefault="001C6F9F" w:rsidP="00AE5921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1C6F9F" w:rsidRDefault="001C6F9F" w:rsidP="00AE5921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C6F9F" w:rsidRDefault="001C6F9F" w:rsidP="00AE5921">
            <w:pPr>
              <w:pStyle w:val="Tekstblokowy"/>
              <w:tabs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 xml:space="preserve">min. 24 miesięcy. Równocześnie, Wykonawca zapewnia w okresie pogwarancyjnym dostępność części zamiennych oraz pełny serwis przedmiotu umowy,  przez okres   3    lat licząc od daty zakończenia  okresu  gwarancji . </w:t>
            </w:r>
          </w:p>
          <w:p w:rsidR="001C6F9F" w:rsidRDefault="001C6F9F" w:rsidP="00AE5921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2.  Zgłoszenie  serwisanta do naprawy przedmiotu zamówienia nastąpi w ciągu  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>godzin od daty otrzymania zgłoszenia o usterce, a naprawa zostanie wykonana w ciągu  kolejnych  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>a jeżeli wystąpi konieczność importu części zamiennych, naprawa zostanie wykonana w ciągu 21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1C6F9F" w:rsidRDefault="001C6F9F" w:rsidP="00AE5921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1C6F9F" w:rsidRDefault="001C6F9F" w:rsidP="00AE5921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24 godzin, a nie  spowodowanego  złą  eksploatacją.    </w:t>
            </w:r>
          </w:p>
          <w:p w:rsidR="001C6F9F" w:rsidRDefault="001C6F9F" w:rsidP="00AE5921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części    należącej do przedmiotu zamówienia na nową równoważną nastąpi na żądanie Zamawiającego,  przy  drugim jej  uszkodzeniu w okresie gwarancyjnym. Uszkodzona  część  nie podlegająca naprawie  zostanie wymieniona na nową równoważną  oraz  zgodnie  z przepisem art. 581 Kodeksu cywilnego, dostarczona będzie z pełnym okresem gwarancji wynoszącym  </w:t>
            </w:r>
            <w:r>
              <w:rPr>
                <w:sz w:val="20"/>
                <w:szCs w:val="16"/>
              </w:rPr>
              <w:t>min 24 miesięcy.</w:t>
            </w:r>
          </w:p>
          <w:p w:rsidR="001C6F9F" w:rsidRDefault="001C6F9F" w:rsidP="00AE5921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. </w:t>
            </w:r>
            <w:r>
              <w:rPr>
                <w:b/>
                <w:color w:val="000000"/>
                <w:w w:val="90"/>
                <w:sz w:val="20"/>
                <w:szCs w:val="20"/>
              </w:rPr>
              <w:t>Podać adres:</w:t>
            </w:r>
          </w:p>
          <w:p w:rsidR="001C6F9F" w:rsidRDefault="001C6F9F" w:rsidP="00AE5921">
            <w:pPr>
              <w:tabs>
                <w:tab w:val="left" w:pos="190"/>
              </w:tabs>
              <w:ind w:left="218" w:right="110" w:hanging="218"/>
              <w:rPr>
                <w:rFonts w:ascii="Verdana" w:hAnsi="Verdana"/>
                <w:color w:val="000000"/>
                <w:w w:val="95"/>
                <w:sz w:val="21"/>
                <w:szCs w:val="21"/>
              </w:rPr>
            </w:pPr>
          </w:p>
          <w:p w:rsidR="001C6F9F" w:rsidRDefault="001C6F9F" w:rsidP="00AE5921">
            <w:pPr>
              <w:tabs>
                <w:tab w:val="left" w:pos="19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1C6F9F" w:rsidRDefault="001C6F9F" w:rsidP="001C6F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* Rozmiary tabeli powiększyć stosownie do potrzeb</w:t>
      </w:r>
    </w:p>
    <w:p w:rsidR="001C6F9F" w:rsidRDefault="001C6F9F" w:rsidP="001C6F9F">
      <w:pPr>
        <w:pStyle w:val="Tekstpodstawowywcity2"/>
        <w:ind w:left="3540"/>
        <w:rPr>
          <w:sz w:val="22"/>
          <w:szCs w:val="22"/>
        </w:rPr>
      </w:pPr>
    </w:p>
    <w:p w:rsidR="001C6F9F" w:rsidRDefault="001C6F9F" w:rsidP="001C6F9F">
      <w:pPr>
        <w:pStyle w:val="Bezodstpw"/>
        <w:ind w:left="2832" w:firstLine="708"/>
      </w:pPr>
      <w:r>
        <w:t>Podpisy osób uprawnionych do składania</w:t>
      </w:r>
    </w:p>
    <w:p w:rsidR="001C6F9F" w:rsidRDefault="001C6F9F" w:rsidP="001C6F9F">
      <w:pPr>
        <w:pStyle w:val="Bezodstpw"/>
      </w:pPr>
      <w:r>
        <w:t xml:space="preserve">Data                                                  oświadczeń woli w imieniu wykonawcy   </w:t>
      </w:r>
    </w:p>
    <w:p w:rsidR="001C6F9F" w:rsidRDefault="001C6F9F" w:rsidP="004D42DE">
      <w:pPr>
        <w:spacing w:after="200" w:line="276" w:lineRule="auto"/>
        <w:rPr>
          <w:rFonts w:asciiTheme="minorHAnsi" w:hAnsiTheme="minorHAnsi"/>
          <w:b/>
          <w:bCs/>
          <w:sz w:val="22"/>
          <w:szCs w:val="22"/>
          <w:u w:val="single"/>
        </w:rPr>
      </w:pPr>
    </w:p>
    <w:sectPr w:rsidR="001C6F9F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9E" w:rsidRDefault="00CE799E" w:rsidP="00BC5EBC">
      <w:r>
        <w:separator/>
      </w:r>
    </w:p>
  </w:endnote>
  <w:endnote w:type="continuationSeparator" w:id="0">
    <w:p w:rsidR="00CE799E" w:rsidRDefault="00CE799E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AE5921" w:rsidRDefault="00AE592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77421" w:rsidRPr="00D77421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E5921" w:rsidRDefault="00AE5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9E" w:rsidRDefault="00CE799E" w:rsidP="00BC5EBC">
      <w:r>
        <w:separator/>
      </w:r>
    </w:p>
  </w:footnote>
  <w:footnote w:type="continuationSeparator" w:id="0">
    <w:p w:rsidR="00CE799E" w:rsidRDefault="00CE799E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360A6"/>
    <w:rsid w:val="00080D0B"/>
    <w:rsid w:val="000B28E2"/>
    <w:rsid w:val="000C44E3"/>
    <w:rsid w:val="0010121D"/>
    <w:rsid w:val="00116022"/>
    <w:rsid w:val="00127310"/>
    <w:rsid w:val="00193A70"/>
    <w:rsid w:val="001C50D3"/>
    <w:rsid w:val="001C6F9F"/>
    <w:rsid w:val="002A049E"/>
    <w:rsid w:val="002A0A78"/>
    <w:rsid w:val="002D4BD1"/>
    <w:rsid w:val="00332770"/>
    <w:rsid w:val="004B4044"/>
    <w:rsid w:val="004C1703"/>
    <w:rsid w:val="004D42DE"/>
    <w:rsid w:val="00521B6C"/>
    <w:rsid w:val="00550CCD"/>
    <w:rsid w:val="005B7D34"/>
    <w:rsid w:val="005D3E72"/>
    <w:rsid w:val="006102F5"/>
    <w:rsid w:val="00613E12"/>
    <w:rsid w:val="00621922"/>
    <w:rsid w:val="006B4756"/>
    <w:rsid w:val="007239E4"/>
    <w:rsid w:val="00777419"/>
    <w:rsid w:val="007B7A48"/>
    <w:rsid w:val="007C0E55"/>
    <w:rsid w:val="007C5F35"/>
    <w:rsid w:val="00813109"/>
    <w:rsid w:val="0081607E"/>
    <w:rsid w:val="00891A1F"/>
    <w:rsid w:val="00892C20"/>
    <w:rsid w:val="008C73CD"/>
    <w:rsid w:val="009A0823"/>
    <w:rsid w:val="009B4FC9"/>
    <w:rsid w:val="009C48A4"/>
    <w:rsid w:val="009C68B2"/>
    <w:rsid w:val="009F62F8"/>
    <w:rsid w:val="00A022A2"/>
    <w:rsid w:val="00A14D93"/>
    <w:rsid w:val="00A514E8"/>
    <w:rsid w:val="00AB293B"/>
    <w:rsid w:val="00AC2FBA"/>
    <w:rsid w:val="00AE5921"/>
    <w:rsid w:val="00B11723"/>
    <w:rsid w:val="00B26D9F"/>
    <w:rsid w:val="00B952A3"/>
    <w:rsid w:val="00BC5EBC"/>
    <w:rsid w:val="00C0657F"/>
    <w:rsid w:val="00C11162"/>
    <w:rsid w:val="00C5230B"/>
    <w:rsid w:val="00CA0D9A"/>
    <w:rsid w:val="00CE799E"/>
    <w:rsid w:val="00CF3DF7"/>
    <w:rsid w:val="00D1288D"/>
    <w:rsid w:val="00D12A61"/>
    <w:rsid w:val="00D16937"/>
    <w:rsid w:val="00D44C6C"/>
    <w:rsid w:val="00D6689C"/>
    <w:rsid w:val="00D77421"/>
    <w:rsid w:val="00D8734E"/>
    <w:rsid w:val="00E15251"/>
    <w:rsid w:val="00E220D7"/>
    <w:rsid w:val="00E44E55"/>
    <w:rsid w:val="00E72641"/>
    <w:rsid w:val="00E94F7B"/>
    <w:rsid w:val="00EB45AE"/>
    <w:rsid w:val="00ED2084"/>
    <w:rsid w:val="00EF500F"/>
    <w:rsid w:val="00F1121C"/>
    <w:rsid w:val="00F232B7"/>
    <w:rsid w:val="00F80565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6F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6F9F"/>
    <w:rPr>
      <w:sz w:val="24"/>
      <w:szCs w:val="24"/>
    </w:rPr>
  </w:style>
  <w:style w:type="paragraph" w:styleId="Bezodstpw">
    <w:name w:val="No Spacing"/>
    <w:uiPriority w:val="1"/>
    <w:qFormat/>
    <w:rsid w:val="001C6F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1</TotalTime>
  <Pages>10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15298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Miłosz</cp:lastModifiedBy>
  <cp:revision>2</cp:revision>
  <cp:lastPrinted>2016-05-05T10:49:00Z</cp:lastPrinted>
  <dcterms:created xsi:type="dcterms:W3CDTF">2018-11-13T08:40:00Z</dcterms:created>
  <dcterms:modified xsi:type="dcterms:W3CDTF">2018-11-13T08:40:00Z</dcterms:modified>
</cp:coreProperties>
</file>