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E72C" w14:textId="77777777" w:rsidR="00932F06" w:rsidRPr="00685460" w:rsidRDefault="00932F06" w:rsidP="00932F0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460">
        <w:rPr>
          <w:rFonts w:ascii="Times New Roman" w:hAnsi="Times New Roman" w:cs="Times New Roman"/>
          <w:b/>
          <w:bCs/>
          <w:sz w:val="24"/>
          <w:szCs w:val="24"/>
        </w:rPr>
        <w:t>Streszczenie w języku polskim</w:t>
      </w:r>
    </w:p>
    <w:p w14:paraId="460B4107" w14:textId="77777777" w:rsidR="00932F06" w:rsidRDefault="00932F06" w:rsidP="00932F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FCC">
        <w:rPr>
          <w:rFonts w:ascii="Times New Roman" w:hAnsi="Times New Roman" w:cs="Times New Roman"/>
          <w:sz w:val="24"/>
          <w:szCs w:val="24"/>
        </w:rPr>
        <w:t xml:space="preserve">Zidentyfikowany pod koniec 2019 roku wirus SARS-CoV-2 spowodował globalną epidemię paraliżując systemy opieki zdrowotnej oraz systemy gospodarcze na całym świecie. Mimo podjęcia wszelkich prób ograniczania rozprzestrzeniania się patogenu Światowa Organizacja Zdrowia (WHO) nadal nie ogłosiła końca pandemii, a ogromna liczba zakażeń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2FCC">
        <w:rPr>
          <w:rFonts w:ascii="Times New Roman" w:hAnsi="Times New Roman" w:cs="Times New Roman"/>
          <w:sz w:val="24"/>
          <w:szCs w:val="24"/>
        </w:rPr>
        <w:t xml:space="preserve">i zgonów świadczy o jej </w:t>
      </w:r>
      <w:r>
        <w:rPr>
          <w:rFonts w:ascii="Times New Roman" w:hAnsi="Times New Roman" w:cs="Times New Roman"/>
          <w:sz w:val="24"/>
          <w:szCs w:val="24"/>
        </w:rPr>
        <w:t>szczególnie dramatycznym przebiegu</w:t>
      </w:r>
      <w:r w:rsidRPr="00C22FCC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0"/>
      <w:commentRangeEnd w:id="0"/>
      <w:r>
        <w:rPr>
          <w:rStyle w:val="Odwoaniedokomentarza"/>
        </w:rPr>
        <w:commentReference w:id="0"/>
      </w:r>
      <w:r w:rsidRPr="00C22FCC">
        <w:rPr>
          <w:rFonts w:ascii="Times New Roman" w:hAnsi="Times New Roman" w:cs="Times New Roman"/>
          <w:sz w:val="24"/>
          <w:szCs w:val="24"/>
        </w:rPr>
        <w:t xml:space="preserve">Wobec dużej dynamiki rozprzestrzeniania się wirusa oraz </w:t>
      </w:r>
      <w:r>
        <w:rPr>
          <w:rFonts w:ascii="Times New Roman" w:hAnsi="Times New Roman" w:cs="Times New Roman"/>
          <w:sz w:val="24"/>
          <w:szCs w:val="24"/>
        </w:rPr>
        <w:t xml:space="preserve">pojawiających się </w:t>
      </w:r>
      <w:r w:rsidRPr="00C22FCC">
        <w:rPr>
          <w:rFonts w:ascii="Times New Roman" w:hAnsi="Times New Roman" w:cs="Times New Roman"/>
          <w:sz w:val="24"/>
          <w:szCs w:val="24"/>
        </w:rPr>
        <w:t>kolejnych mutacji patogenu, wszystkie badania czynników wpływających na poziom przeciwciał</w:t>
      </w:r>
      <w:r>
        <w:rPr>
          <w:rFonts w:ascii="Times New Roman" w:hAnsi="Times New Roman" w:cs="Times New Roman"/>
          <w:sz w:val="24"/>
          <w:szCs w:val="24"/>
        </w:rPr>
        <w:t xml:space="preserve"> rozpoznających SARS-CoV-2</w:t>
      </w:r>
      <w:r w:rsidRPr="00C22F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ich wpływ na </w:t>
      </w:r>
      <w:r w:rsidRPr="00C22FCC">
        <w:rPr>
          <w:rFonts w:ascii="Times New Roman" w:hAnsi="Times New Roman" w:cs="Times New Roman"/>
          <w:sz w:val="24"/>
          <w:szCs w:val="24"/>
        </w:rPr>
        <w:t xml:space="preserve">przebieg choroby oraz analizy </w:t>
      </w:r>
      <w:r>
        <w:rPr>
          <w:rFonts w:ascii="Times New Roman" w:hAnsi="Times New Roman" w:cs="Times New Roman"/>
          <w:sz w:val="24"/>
          <w:szCs w:val="24"/>
        </w:rPr>
        <w:t>kinetyki</w:t>
      </w:r>
      <w:r w:rsidRPr="00C22FCC">
        <w:rPr>
          <w:rFonts w:ascii="Times New Roman" w:hAnsi="Times New Roman" w:cs="Times New Roman"/>
          <w:sz w:val="24"/>
          <w:szCs w:val="24"/>
        </w:rPr>
        <w:t xml:space="preserve"> odpowiedzi układu odpornościowego dostarczają </w:t>
      </w:r>
      <w:r>
        <w:rPr>
          <w:rFonts w:ascii="Times New Roman" w:hAnsi="Times New Roman" w:cs="Times New Roman"/>
          <w:sz w:val="24"/>
          <w:szCs w:val="24"/>
        </w:rPr>
        <w:t>ważnych</w:t>
      </w:r>
      <w:r w:rsidRPr="00C22FCC">
        <w:rPr>
          <w:rFonts w:ascii="Times New Roman" w:hAnsi="Times New Roman" w:cs="Times New Roman"/>
          <w:sz w:val="24"/>
          <w:szCs w:val="24"/>
        </w:rPr>
        <w:t xml:space="preserve"> informacji dla zrozumienia patogenezy choroby COVID-19 i są niezbędne dla prowadzenia czynnej walki z </w:t>
      </w:r>
      <w:commentRangeStart w:id="1"/>
      <w:r>
        <w:rPr>
          <w:rFonts w:ascii="Times New Roman" w:hAnsi="Times New Roman" w:cs="Times New Roman"/>
          <w:sz w:val="24"/>
          <w:szCs w:val="24"/>
        </w:rPr>
        <w:t>rozprzestrzenianiem</w:t>
      </w:r>
      <w:r w:rsidRPr="00C22FCC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>
        <w:rPr>
          <w:rStyle w:val="Odwoaniedokomentarza"/>
        </w:rPr>
        <w:commentReference w:id="1"/>
      </w:r>
      <w:r w:rsidRPr="00C22FCC">
        <w:rPr>
          <w:rFonts w:ascii="Times New Roman" w:hAnsi="Times New Roman" w:cs="Times New Roman"/>
          <w:sz w:val="24"/>
          <w:szCs w:val="24"/>
        </w:rPr>
        <w:t>wirus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22FCC">
        <w:rPr>
          <w:rFonts w:ascii="Times New Roman" w:hAnsi="Times New Roman" w:cs="Times New Roman"/>
          <w:sz w:val="24"/>
          <w:szCs w:val="24"/>
        </w:rPr>
        <w:t xml:space="preserve"> SARS-CoV-2.</w:t>
      </w:r>
    </w:p>
    <w:p w14:paraId="38CA77CE" w14:textId="77777777" w:rsidR="00932F06" w:rsidRDefault="00932F06" w:rsidP="00932F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Pierwsza praca spośród cyklu prezentuje wyniki </w:t>
      </w:r>
      <w:r w:rsidRPr="00510780">
        <w:rPr>
          <w:rFonts w:ascii="Times New Roman" w:hAnsi="Times New Roman" w:cs="Times New Roman"/>
          <w:sz w:val="24"/>
          <w:szCs w:val="24"/>
        </w:rPr>
        <w:t xml:space="preserve">badania </w:t>
      </w:r>
      <w:r>
        <w:rPr>
          <w:rFonts w:ascii="Times New Roman" w:hAnsi="Times New Roman" w:cs="Times New Roman"/>
          <w:sz w:val="24"/>
          <w:szCs w:val="24"/>
        </w:rPr>
        <w:t>kontynuacyjne</w:t>
      </w:r>
      <w:r w:rsidRPr="00510780">
        <w:rPr>
          <w:rFonts w:ascii="Times New Roman" w:hAnsi="Times New Roman" w:cs="Times New Roman"/>
          <w:sz w:val="24"/>
          <w:szCs w:val="24"/>
        </w:rPr>
        <w:t xml:space="preserve"> do populacyjnego badania przesiewowego w kierunku przeciwciał swoistych wobec SARS-CoV-2 u obywateli Polski u których nigdy nie zdiagnozowano choroby COVID-19 ani któr</w:t>
      </w:r>
      <w:r>
        <w:rPr>
          <w:rFonts w:ascii="Times New Roman" w:hAnsi="Times New Roman" w:cs="Times New Roman"/>
          <w:sz w:val="24"/>
          <w:szCs w:val="24"/>
        </w:rPr>
        <w:t>zy</w:t>
      </w:r>
      <w:r w:rsidRPr="00510780">
        <w:rPr>
          <w:rFonts w:ascii="Times New Roman" w:hAnsi="Times New Roman" w:cs="Times New Roman"/>
          <w:sz w:val="24"/>
          <w:szCs w:val="24"/>
        </w:rPr>
        <w:t xml:space="preserve"> nigdy nie by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510780">
        <w:rPr>
          <w:rFonts w:ascii="Times New Roman" w:hAnsi="Times New Roman" w:cs="Times New Roman"/>
          <w:sz w:val="24"/>
          <w:szCs w:val="24"/>
        </w:rPr>
        <w:t xml:space="preserve"> zaszczepi</w:t>
      </w:r>
      <w:r>
        <w:rPr>
          <w:rFonts w:ascii="Times New Roman" w:hAnsi="Times New Roman" w:cs="Times New Roman"/>
          <w:sz w:val="24"/>
          <w:szCs w:val="24"/>
        </w:rPr>
        <w:t>eni</w:t>
      </w:r>
      <w:r w:rsidRPr="00510780">
        <w:rPr>
          <w:rFonts w:ascii="Times New Roman" w:hAnsi="Times New Roman" w:cs="Times New Roman"/>
          <w:sz w:val="24"/>
          <w:szCs w:val="24"/>
        </w:rPr>
        <w:t xml:space="preserve"> przeciwko SARS-CoV-2. W tym badaniu oce</w:t>
      </w:r>
      <w:r>
        <w:rPr>
          <w:rFonts w:ascii="Times New Roman" w:hAnsi="Times New Roman" w:cs="Times New Roman"/>
          <w:sz w:val="24"/>
          <w:szCs w:val="24"/>
        </w:rPr>
        <w:t>niono</w:t>
      </w:r>
      <w:r w:rsidRPr="00510780">
        <w:rPr>
          <w:rFonts w:ascii="Times New Roman" w:hAnsi="Times New Roman" w:cs="Times New Roman"/>
          <w:sz w:val="24"/>
          <w:szCs w:val="24"/>
        </w:rPr>
        <w:t xml:space="preserve"> przeciwciała </w:t>
      </w:r>
      <w:proofErr w:type="spellStart"/>
      <w:r w:rsidRPr="00510780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510780">
        <w:rPr>
          <w:rFonts w:ascii="Times New Roman" w:hAnsi="Times New Roman" w:cs="Times New Roman"/>
          <w:sz w:val="24"/>
          <w:szCs w:val="24"/>
        </w:rPr>
        <w:t xml:space="preserve"> specyficzne dla wirusowego białka </w:t>
      </w:r>
      <w:proofErr w:type="spellStart"/>
      <w:r w:rsidRPr="00510780">
        <w:rPr>
          <w:rFonts w:ascii="Times New Roman" w:hAnsi="Times New Roman" w:cs="Times New Roman"/>
          <w:sz w:val="24"/>
          <w:szCs w:val="24"/>
        </w:rPr>
        <w:t>nukleokapsydu</w:t>
      </w:r>
      <w:proofErr w:type="spellEnd"/>
      <w:r w:rsidRPr="00510780">
        <w:rPr>
          <w:rFonts w:ascii="Times New Roman" w:hAnsi="Times New Roman" w:cs="Times New Roman"/>
          <w:sz w:val="24"/>
          <w:szCs w:val="24"/>
        </w:rPr>
        <w:t xml:space="preserve"> (NCP) i domeny wiążącej receptor w białku kolca (RBD) 7 miesięcy po pierwszym badaniu przesiewowym starając się zrozumieć, jak zmieniają się poziomy przeciwciał w czasie u pacjentów dotkniętych bezobjawowym lub łagodnym przebiegiem zakażenia (niehospitalizowanych).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780">
        <w:rPr>
          <w:rFonts w:ascii="Times New Roman" w:hAnsi="Times New Roman" w:cs="Times New Roman"/>
          <w:sz w:val="24"/>
          <w:szCs w:val="24"/>
        </w:rPr>
        <w:t>Uwzględni</w:t>
      </w:r>
      <w:r>
        <w:rPr>
          <w:rFonts w:ascii="Times New Roman" w:hAnsi="Times New Roman" w:cs="Times New Roman"/>
          <w:sz w:val="24"/>
          <w:szCs w:val="24"/>
        </w:rPr>
        <w:t>ono</w:t>
      </w:r>
      <w:r w:rsidRPr="00510780">
        <w:rPr>
          <w:rFonts w:ascii="Times New Roman" w:hAnsi="Times New Roman" w:cs="Times New Roman"/>
          <w:sz w:val="24"/>
          <w:szCs w:val="24"/>
        </w:rPr>
        <w:t xml:space="preserve"> dodatkowy czynnik immunologiczny jaki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10780">
        <w:rPr>
          <w:rFonts w:ascii="Times New Roman" w:hAnsi="Times New Roman" w:cs="Times New Roman"/>
          <w:sz w:val="24"/>
          <w:szCs w:val="24"/>
        </w:rPr>
        <w:t xml:space="preserve"> są szczepienia.</w:t>
      </w:r>
      <w:r>
        <w:rPr>
          <w:rFonts w:ascii="Times New Roman" w:hAnsi="Times New Roman" w:cs="Times New Roman"/>
          <w:sz w:val="24"/>
          <w:szCs w:val="24"/>
        </w:rPr>
        <w:t xml:space="preserve"> W pracy zaprezentowano</w:t>
      </w:r>
      <w:r w:rsidRPr="00510780">
        <w:rPr>
          <w:rFonts w:ascii="Times New Roman" w:hAnsi="Times New Roman" w:cs="Times New Roman"/>
          <w:sz w:val="24"/>
          <w:szCs w:val="24"/>
        </w:rPr>
        <w:t xml:space="preserve"> również obserwację kinetyki  tych samych typ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510780">
        <w:rPr>
          <w:rFonts w:ascii="Times New Roman" w:hAnsi="Times New Roman" w:cs="Times New Roman"/>
          <w:sz w:val="24"/>
          <w:szCs w:val="24"/>
        </w:rPr>
        <w:t xml:space="preserve"> przeciwciał u pacjentów hospitalizowanych z powodu COVID-19.</w:t>
      </w:r>
      <w:r>
        <w:rPr>
          <w:rFonts w:ascii="Times New Roman" w:hAnsi="Times New Roman" w:cs="Times New Roman"/>
          <w:sz w:val="24"/>
          <w:szCs w:val="24"/>
        </w:rPr>
        <w:t xml:space="preserve"> Analizy objęły również badanie otyłości i jej wpływu na przebieg choroby.</w:t>
      </w:r>
    </w:p>
    <w:p w14:paraId="4A62FC4B" w14:textId="77777777" w:rsidR="00932F06" w:rsidRDefault="00932F06" w:rsidP="00932F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Druga publikacja </w:t>
      </w:r>
      <w:r w:rsidRPr="00C85EC9">
        <w:rPr>
          <w:rFonts w:ascii="Times New Roman" w:hAnsi="Times New Roman" w:cs="Times New Roman"/>
          <w:sz w:val="24"/>
          <w:szCs w:val="24"/>
        </w:rPr>
        <w:t>analiz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C85EC9">
        <w:rPr>
          <w:rFonts w:ascii="Times New Roman" w:hAnsi="Times New Roman" w:cs="Times New Roman"/>
          <w:sz w:val="24"/>
          <w:szCs w:val="24"/>
        </w:rPr>
        <w:t xml:space="preserve"> szeroki zakres przeciwciał </w:t>
      </w:r>
      <w:proofErr w:type="spellStart"/>
      <w:r w:rsidRPr="00C85EC9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C85EC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5EC9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C85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specyficznych względem patogenu </w:t>
      </w:r>
      <w:proofErr w:type="spellStart"/>
      <w:r w:rsidRPr="00685460">
        <w:rPr>
          <w:rFonts w:ascii="Times New Roman" w:hAnsi="Times New Roman" w:cs="Times New Roman"/>
          <w:i/>
          <w:iCs/>
          <w:sz w:val="24"/>
          <w:szCs w:val="24"/>
        </w:rPr>
        <w:t>Borrelia</w:t>
      </w:r>
      <w:proofErr w:type="spellEnd"/>
      <w:r w:rsidRPr="00C85EC9">
        <w:rPr>
          <w:rFonts w:ascii="Times New Roman" w:hAnsi="Times New Roman" w:cs="Times New Roman"/>
          <w:sz w:val="24"/>
          <w:szCs w:val="24"/>
        </w:rPr>
        <w:t xml:space="preserve"> (celujących w 19 antygenów pochodzących z </w:t>
      </w:r>
      <w:proofErr w:type="spellStart"/>
      <w:r w:rsidRPr="00685460">
        <w:rPr>
          <w:rFonts w:ascii="Times New Roman" w:hAnsi="Times New Roman" w:cs="Times New Roman"/>
          <w:i/>
          <w:iCs/>
          <w:sz w:val="24"/>
          <w:szCs w:val="24"/>
        </w:rPr>
        <w:t>Borrelia</w:t>
      </w:r>
      <w:proofErr w:type="spellEnd"/>
      <w:r w:rsidRPr="006854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5460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FE482F">
        <w:rPr>
          <w:rFonts w:ascii="Times New Roman" w:hAnsi="Times New Roman" w:cs="Times New Roman"/>
          <w:sz w:val="24"/>
          <w:szCs w:val="24"/>
        </w:rPr>
        <w:t>.)</w:t>
      </w:r>
      <w:r w:rsidRPr="00C85EC9">
        <w:rPr>
          <w:rFonts w:ascii="Times New Roman" w:hAnsi="Times New Roman" w:cs="Times New Roman"/>
          <w:sz w:val="24"/>
          <w:szCs w:val="24"/>
        </w:rPr>
        <w:t xml:space="preserve"> u pacjentów reprezentujących trzy różne typy historii klinicznej: ciężki COVID-19 (</w:t>
      </w:r>
      <w:r>
        <w:rPr>
          <w:rFonts w:ascii="Times New Roman" w:hAnsi="Times New Roman" w:cs="Times New Roman"/>
          <w:sz w:val="24"/>
          <w:szCs w:val="24"/>
        </w:rPr>
        <w:t xml:space="preserve">pacjenci </w:t>
      </w:r>
      <w:r w:rsidRPr="00C85EC9">
        <w:rPr>
          <w:rFonts w:ascii="Times New Roman" w:hAnsi="Times New Roman" w:cs="Times New Roman"/>
          <w:sz w:val="24"/>
          <w:szCs w:val="24"/>
        </w:rPr>
        <w:t>hospitalizowan</w:t>
      </w:r>
      <w:r>
        <w:rPr>
          <w:rFonts w:ascii="Times New Roman" w:hAnsi="Times New Roman" w:cs="Times New Roman"/>
          <w:sz w:val="24"/>
          <w:szCs w:val="24"/>
        </w:rPr>
        <w:t>i z koniecznością wspomagania funkcji oddechowych</w:t>
      </w:r>
      <w:r w:rsidRPr="00C85EC9">
        <w:rPr>
          <w:rFonts w:ascii="Times New Roman" w:hAnsi="Times New Roman" w:cs="Times New Roman"/>
          <w:sz w:val="24"/>
          <w:szCs w:val="24"/>
        </w:rPr>
        <w:t>), bezobjawowy do łagodnego COVID-19 (</w:t>
      </w:r>
      <w:r>
        <w:rPr>
          <w:rFonts w:ascii="Times New Roman" w:hAnsi="Times New Roman" w:cs="Times New Roman"/>
          <w:sz w:val="24"/>
          <w:szCs w:val="24"/>
        </w:rPr>
        <w:t>osoby leczące się</w:t>
      </w:r>
      <w:r w:rsidRPr="00C85EC9">
        <w:rPr>
          <w:rFonts w:ascii="Times New Roman" w:hAnsi="Times New Roman" w:cs="Times New Roman"/>
          <w:sz w:val="24"/>
          <w:szCs w:val="24"/>
        </w:rPr>
        <w:t xml:space="preserve"> w domu lub nieświadome zakażenia)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C85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osoby </w:t>
      </w:r>
      <w:r w:rsidRPr="00C85EC9">
        <w:rPr>
          <w:rFonts w:ascii="Times New Roman" w:hAnsi="Times New Roman" w:cs="Times New Roman"/>
          <w:sz w:val="24"/>
          <w:szCs w:val="24"/>
        </w:rPr>
        <w:t xml:space="preserve">niezakażone </w:t>
      </w:r>
      <w:r>
        <w:rPr>
          <w:rFonts w:ascii="Times New Roman" w:hAnsi="Times New Roman" w:cs="Times New Roman"/>
          <w:sz w:val="24"/>
          <w:szCs w:val="24"/>
        </w:rPr>
        <w:t xml:space="preserve">wirusem </w:t>
      </w:r>
      <w:r w:rsidRPr="00C85EC9">
        <w:rPr>
          <w:rFonts w:ascii="Times New Roman" w:hAnsi="Times New Roman" w:cs="Times New Roman"/>
          <w:sz w:val="24"/>
          <w:szCs w:val="24"/>
        </w:rPr>
        <w:t>SARS-CoV-2,</w:t>
      </w:r>
      <w:r>
        <w:rPr>
          <w:rFonts w:ascii="Times New Roman" w:hAnsi="Times New Roman" w:cs="Times New Roman"/>
          <w:sz w:val="24"/>
          <w:szCs w:val="24"/>
        </w:rPr>
        <w:t xml:space="preserve"> celem</w:t>
      </w:r>
      <w:r w:rsidRPr="00C85EC9">
        <w:rPr>
          <w:rFonts w:ascii="Times New Roman" w:hAnsi="Times New Roman" w:cs="Times New Roman"/>
          <w:sz w:val="24"/>
          <w:szCs w:val="24"/>
        </w:rPr>
        <w:t xml:space="preserve"> zidentyfikowania potencjalnego związku między wcześniejszą ekspozycją na </w:t>
      </w:r>
      <w:proofErr w:type="spellStart"/>
      <w:r w:rsidRPr="00EB13FE">
        <w:rPr>
          <w:rFonts w:ascii="Times New Roman" w:hAnsi="Times New Roman" w:cs="Times New Roman"/>
          <w:i/>
          <w:iCs/>
          <w:sz w:val="24"/>
          <w:szCs w:val="24"/>
        </w:rPr>
        <w:t>Borrelia</w:t>
      </w:r>
      <w:proofErr w:type="spellEnd"/>
      <w:r w:rsidRPr="00EB13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13FE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EB13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85EC9">
        <w:rPr>
          <w:rFonts w:ascii="Times New Roman" w:hAnsi="Times New Roman" w:cs="Times New Roman"/>
          <w:sz w:val="24"/>
          <w:szCs w:val="24"/>
        </w:rPr>
        <w:t xml:space="preserve"> oraz ryzyk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C85EC9">
        <w:rPr>
          <w:rFonts w:ascii="Times New Roman" w:hAnsi="Times New Roman" w:cs="Times New Roman"/>
          <w:sz w:val="24"/>
          <w:szCs w:val="24"/>
        </w:rPr>
        <w:t xml:space="preserve"> ciężkiego </w:t>
      </w:r>
      <w:r>
        <w:rPr>
          <w:rFonts w:ascii="Times New Roman" w:hAnsi="Times New Roman" w:cs="Times New Roman"/>
          <w:sz w:val="24"/>
          <w:szCs w:val="24"/>
        </w:rPr>
        <w:t xml:space="preserve">przebiegu choroby </w:t>
      </w:r>
      <w:r w:rsidRPr="00C85EC9">
        <w:rPr>
          <w:rFonts w:ascii="Times New Roman" w:hAnsi="Times New Roman" w:cs="Times New Roman"/>
          <w:sz w:val="24"/>
          <w:szCs w:val="24"/>
        </w:rPr>
        <w:t>COVID-19.</w:t>
      </w:r>
    </w:p>
    <w:p w14:paraId="527596A5" w14:textId="77777777" w:rsidR="00932F06" w:rsidRDefault="00932F06" w:rsidP="00932F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Trzeci artykuł wchodzący w skład cyklu prezentuje </w:t>
      </w:r>
      <w:r w:rsidRPr="00F62E58">
        <w:rPr>
          <w:rFonts w:ascii="Times New Roman" w:hAnsi="Times New Roman" w:cs="Times New Roman"/>
          <w:sz w:val="24"/>
          <w:szCs w:val="24"/>
        </w:rPr>
        <w:t>powiąza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F62E58">
        <w:rPr>
          <w:rFonts w:ascii="Times New Roman" w:hAnsi="Times New Roman" w:cs="Times New Roman"/>
          <w:sz w:val="24"/>
          <w:szCs w:val="24"/>
        </w:rPr>
        <w:t xml:space="preserve"> między charakterystyką pacjentów onkologicznych hospitalizowanych z powodu COVID-19, w tym parametr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F62E58">
        <w:rPr>
          <w:rFonts w:ascii="Times New Roman" w:hAnsi="Times New Roman" w:cs="Times New Roman"/>
          <w:sz w:val="24"/>
          <w:szCs w:val="24"/>
        </w:rPr>
        <w:t xml:space="preserve"> </w:t>
      </w:r>
      <w:r w:rsidRPr="00F62E58">
        <w:rPr>
          <w:rFonts w:ascii="Times New Roman" w:hAnsi="Times New Roman" w:cs="Times New Roman"/>
          <w:sz w:val="24"/>
          <w:szCs w:val="24"/>
        </w:rPr>
        <w:lastRenderedPageBreak/>
        <w:t>diagnostyczny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F62E58">
        <w:rPr>
          <w:rFonts w:ascii="Times New Roman" w:hAnsi="Times New Roman" w:cs="Times New Roman"/>
          <w:sz w:val="24"/>
          <w:szCs w:val="24"/>
        </w:rPr>
        <w:t xml:space="preserve"> zarejestrowany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F62E58">
        <w:rPr>
          <w:rFonts w:ascii="Times New Roman" w:hAnsi="Times New Roman" w:cs="Times New Roman"/>
          <w:sz w:val="24"/>
          <w:szCs w:val="24"/>
        </w:rPr>
        <w:t xml:space="preserve"> przy przyjęciu do szpitala, a ryzykiem późniejszego zgonu.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62E58">
        <w:rPr>
          <w:rFonts w:ascii="Times New Roman" w:hAnsi="Times New Roman" w:cs="Times New Roman"/>
          <w:sz w:val="24"/>
          <w:szCs w:val="24"/>
        </w:rPr>
        <w:t xml:space="preserve">elem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Pr="00F62E58">
        <w:rPr>
          <w:rFonts w:ascii="Times New Roman" w:hAnsi="Times New Roman" w:cs="Times New Roman"/>
          <w:sz w:val="24"/>
          <w:szCs w:val="24"/>
        </w:rPr>
        <w:t xml:space="preserve">było </w:t>
      </w:r>
      <w:r>
        <w:rPr>
          <w:rFonts w:ascii="Times New Roman" w:hAnsi="Times New Roman" w:cs="Times New Roman"/>
          <w:sz w:val="24"/>
          <w:szCs w:val="24"/>
        </w:rPr>
        <w:t xml:space="preserve">znalezienie </w:t>
      </w:r>
      <w:r w:rsidRPr="00F62E58">
        <w:rPr>
          <w:rFonts w:ascii="Times New Roman" w:hAnsi="Times New Roman" w:cs="Times New Roman"/>
          <w:sz w:val="24"/>
          <w:szCs w:val="24"/>
        </w:rPr>
        <w:t xml:space="preserve">czynników złego rokowania, których </w:t>
      </w:r>
      <w:r>
        <w:rPr>
          <w:rFonts w:ascii="Times New Roman" w:hAnsi="Times New Roman" w:cs="Times New Roman"/>
          <w:sz w:val="24"/>
          <w:szCs w:val="24"/>
        </w:rPr>
        <w:t>identyfikacja</w:t>
      </w:r>
      <w:r w:rsidRPr="00F62E58">
        <w:rPr>
          <w:rFonts w:ascii="Times New Roman" w:hAnsi="Times New Roman" w:cs="Times New Roman"/>
          <w:sz w:val="24"/>
          <w:szCs w:val="24"/>
        </w:rPr>
        <w:t xml:space="preserve"> może </w:t>
      </w:r>
      <w:r>
        <w:rPr>
          <w:rFonts w:ascii="Times New Roman" w:hAnsi="Times New Roman" w:cs="Times New Roman"/>
          <w:sz w:val="24"/>
          <w:szCs w:val="24"/>
        </w:rPr>
        <w:t>pomóc</w:t>
      </w:r>
      <w:r w:rsidRPr="00F62E58">
        <w:rPr>
          <w:rFonts w:ascii="Times New Roman" w:hAnsi="Times New Roman" w:cs="Times New Roman"/>
          <w:sz w:val="24"/>
          <w:szCs w:val="24"/>
        </w:rPr>
        <w:t xml:space="preserve"> klinicystom w lepszym dopasowaniu leczenia wśród pacjentów onkologicznych z 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12A23" w14:textId="77777777" w:rsidR="00932F06" w:rsidRDefault="00932F06" w:rsidP="00932F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058">
        <w:rPr>
          <w:rFonts w:ascii="Times New Roman" w:hAnsi="Times New Roman" w:cs="Times New Roman"/>
          <w:sz w:val="24"/>
          <w:szCs w:val="24"/>
        </w:rPr>
        <w:t xml:space="preserve">Powyższe badania wykazały, że poziom specyficznych przeciwciał skierowanych przeciwko SARS-CoV-2, które rozwinęły się po infekcji uległ zmniejszeniu i nie może być uznany za chroniący przed zakażeniem 7 miesięcy później oraz że </w:t>
      </w:r>
      <w:r>
        <w:rPr>
          <w:rFonts w:ascii="Times New Roman" w:hAnsi="Times New Roman" w:cs="Times New Roman"/>
          <w:sz w:val="24"/>
          <w:szCs w:val="24"/>
        </w:rPr>
        <w:t>głównym</w:t>
      </w:r>
      <w:r w:rsidRPr="008F1058">
        <w:rPr>
          <w:rFonts w:ascii="Times New Roman" w:hAnsi="Times New Roman" w:cs="Times New Roman"/>
          <w:sz w:val="24"/>
          <w:szCs w:val="24"/>
        </w:rPr>
        <w:t xml:space="preserve"> czynnikiem zapewniającym dobry poziom odporności populacji na COVID-19 są szczepienia. Ponadto, mogą istnieć powiązania między wcześniejszą ekspozycją na krętka z rodzaju </w:t>
      </w:r>
      <w:proofErr w:type="spellStart"/>
      <w:r w:rsidRPr="00EB13FE">
        <w:rPr>
          <w:rFonts w:ascii="Times New Roman" w:hAnsi="Times New Roman" w:cs="Times New Roman"/>
          <w:i/>
          <w:iCs/>
          <w:sz w:val="24"/>
          <w:szCs w:val="24"/>
        </w:rPr>
        <w:t>Borrelia</w:t>
      </w:r>
      <w:proofErr w:type="spellEnd"/>
      <w:r w:rsidRPr="008F1058">
        <w:rPr>
          <w:rFonts w:ascii="Times New Roman" w:hAnsi="Times New Roman" w:cs="Times New Roman"/>
          <w:sz w:val="24"/>
          <w:szCs w:val="24"/>
        </w:rPr>
        <w:t xml:space="preserve"> a późniejszym przebiegiem choroby COVID-19, a badania przesiewowe w kierunku przeciwciał skierowanych przeciwko </w:t>
      </w:r>
      <w:proofErr w:type="spellStart"/>
      <w:r w:rsidRPr="00685460">
        <w:rPr>
          <w:rFonts w:ascii="Times New Roman" w:hAnsi="Times New Roman" w:cs="Times New Roman"/>
          <w:i/>
          <w:iCs/>
          <w:sz w:val="24"/>
          <w:szCs w:val="24"/>
        </w:rPr>
        <w:t>Borrelii</w:t>
      </w:r>
      <w:proofErr w:type="spellEnd"/>
      <w:r w:rsidRPr="008F1058">
        <w:rPr>
          <w:rFonts w:ascii="Times New Roman" w:hAnsi="Times New Roman" w:cs="Times New Roman"/>
          <w:sz w:val="24"/>
          <w:szCs w:val="24"/>
        </w:rPr>
        <w:t xml:space="preserve"> mogą przyczynić się do oceny szans na hospitalizację pacjentów zakażonych SARS-CoV-2.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058">
        <w:rPr>
          <w:rFonts w:ascii="Times New Roman" w:hAnsi="Times New Roman" w:cs="Times New Roman"/>
          <w:sz w:val="24"/>
          <w:szCs w:val="24"/>
        </w:rPr>
        <w:t>Ostatnie badanie wykazało, że czynnikami złego rokowania zarejestrowan</w:t>
      </w:r>
      <w:r>
        <w:rPr>
          <w:rFonts w:ascii="Times New Roman" w:hAnsi="Times New Roman" w:cs="Times New Roman"/>
          <w:sz w:val="24"/>
          <w:szCs w:val="24"/>
        </w:rPr>
        <w:t>ymi</w:t>
      </w:r>
      <w:r w:rsidRPr="008F1058">
        <w:rPr>
          <w:rFonts w:ascii="Times New Roman" w:hAnsi="Times New Roman" w:cs="Times New Roman"/>
          <w:sz w:val="24"/>
          <w:szCs w:val="24"/>
        </w:rPr>
        <w:t xml:space="preserve"> w momencie przyjęcia do szpitala w grupie pacjentów onkologicznych hospitalizowanych z powodu COVID-19 są: płeć męska, przerzuty w chorobie nowotworowej, świsty/rzężenia drobnobańkowe, zaburzenia świadomości (senność/splątanie), a także mała liczba białych krwinek i wysoka liczba neutrofili zarejestrowanych przy przyjęciu. Wczesna identyfikacja parametrów związanych ze złym rokowaniem może pomóc klinicystom w lepszej opiece nad hospitalizowanymi pacjentami.</w:t>
      </w:r>
    </w:p>
    <w:p w14:paraId="075A2D4D" w14:textId="77777777" w:rsidR="00290E64" w:rsidRPr="00932F06" w:rsidRDefault="00290E64" w:rsidP="00932F06"/>
    <w:sectPr w:rsidR="00290E64" w:rsidRPr="0093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rystyna Dąbrowska" w:date="2023-01-31T16:15:00Z" w:initials="KD">
    <w:p w14:paraId="369C33C5" w14:textId="77777777" w:rsidR="00932F06" w:rsidRDefault="00932F06" w:rsidP="00932F06">
      <w:pPr>
        <w:pStyle w:val="Tekstkomentarza"/>
      </w:pPr>
      <w:r>
        <w:rPr>
          <w:rStyle w:val="Odwoaniedokomentarza"/>
        </w:rPr>
        <w:annotationRef/>
      </w:r>
      <w:r>
        <w:t>Spodziewam się, że nam powiedzą, że akurat przebieg to jest opisany w każdą stronę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17AE941" w14:textId="77777777" w:rsidR="00932F06" w:rsidRDefault="00932F06" w:rsidP="00932F06">
      <w:pPr>
        <w:pStyle w:val="Tekstkomentarza"/>
      </w:pPr>
      <w:r>
        <w:t>Proponuje usunąć</w:t>
      </w:r>
    </w:p>
  </w:comment>
  <w:comment w:id="1" w:author="Krystyna Dąbrowska" w:date="2023-01-31T16:18:00Z" w:initials="KD">
    <w:p w14:paraId="0353308B" w14:textId="77777777" w:rsidR="00932F06" w:rsidRDefault="00932F06" w:rsidP="00932F06">
      <w:pPr>
        <w:pStyle w:val="Tekstkomentarza"/>
      </w:pPr>
      <w:r>
        <w:rPr>
          <w:rStyle w:val="Odwoaniedokomentarza"/>
        </w:rPr>
        <w:annotationRef/>
      </w:r>
      <w:r>
        <w:t>Może tak?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7AE941" w15:done="0"/>
  <w15:commentEx w15:paraId="035330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3BD32" w16cex:dateUtc="2023-01-31T15:15:00Z"/>
  <w16cex:commentExtensible w16cex:durableId="2783BDD5" w16cex:dateUtc="2023-01-31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7AE941" w16cid:durableId="2783BD32"/>
  <w16cid:commentId w16cid:paraId="0353308B" w16cid:durableId="2783BD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201D8"/>
    <w:multiLevelType w:val="hybridMultilevel"/>
    <w:tmpl w:val="CACA37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44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yna Dąbrowska">
    <w15:presenceInfo w15:providerId="None" w15:userId="Krystyna Dąbr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06"/>
    <w:rsid w:val="00290E64"/>
    <w:rsid w:val="0093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91CE6D"/>
  <w15:chartTrackingRefBased/>
  <w15:docId w15:val="{EA2161C3-2BD6-4B4D-8467-6E84D8A3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F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2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F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Szewczyk-Dąbrowska</dc:creator>
  <cp:keywords/>
  <dc:description/>
  <cp:lastModifiedBy>Alina Szewczyk-Dąbrowska</cp:lastModifiedBy>
  <cp:revision>1</cp:revision>
  <dcterms:created xsi:type="dcterms:W3CDTF">2023-02-07T12:45:00Z</dcterms:created>
  <dcterms:modified xsi:type="dcterms:W3CDTF">2023-02-07T12:46:00Z</dcterms:modified>
</cp:coreProperties>
</file>