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6A" w:rsidRPr="0013291F" w:rsidRDefault="006E316A" w:rsidP="00347F4F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13291F">
        <w:rPr>
          <w:rFonts w:ascii="Calibri" w:hAnsi="Calibri" w:cs="Calibri"/>
          <w:b w:val="0"/>
          <w:sz w:val="16"/>
          <w:szCs w:val="16"/>
        </w:rPr>
        <w:t>Załącznik nr 2</w:t>
      </w:r>
    </w:p>
    <w:p w:rsidR="007735C2" w:rsidRPr="00D96C36" w:rsidRDefault="007735C2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13291F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</w:t>
      </w:r>
      <w:r w:rsidRPr="00D96C36">
        <w:rPr>
          <w:rFonts w:ascii="Calibri" w:hAnsi="Calibri" w:cs="Calibri"/>
          <w:sz w:val="16"/>
          <w:szCs w:val="16"/>
          <w:lang w:eastAsia="ar-SA"/>
        </w:rPr>
        <w:t>Wrocławiu z wyłączeniem stosowania przepisów ustawy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d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nia 11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wrześni</w:t>
      </w:r>
      <w:r w:rsidRPr="00D96C36">
        <w:rPr>
          <w:rFonts w:ascii="Calibri" w:hAnsi="Calibri" w:cs="Calibri"/>
          <w:sz w:val="16"/>
          <w:szCs w:val="16"/>
          <w:lang w:eastAsia="ar-SA"/>
        </w:rPr>
        <w:t>a 2019 r. Prawo zamówień publicznych (Dz. U.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2019 r., poz. 2019, z </w:t>
      </w:r>
      <w:proofErr w:type="spellStart"/>
      <w:r w:rsidRPr="00D96C36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D96C36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347F4F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="00347F4F">
        <w:rPr>
          <w:rFonts w:ascii="Calibri" w:hAnsi="Calibri" w:cs="Calibri"/>
          <w:sz w:val="16"/>
          <w:szCs w:val="16"/>
          <w:lang w:eastAsia="ar-SA"/>
        </w:rPr>
        <w:t>/XVII R/2021 z dnia 8 marca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2769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Uniwersytet Medyczny we Wrocławiu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.</w:t>
      </w:r>
    </w:p>
    <w:p w:rsidR="0082769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Wyb. L. Pasteura 1</w:t>
      </w:r>
    </w:p>
    <w:p w:rsidR="00D245EB" w:rsidRPr="00D96C3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50-367 Wrocław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827696">
        <w:rPr>
          <w:rFonts w:ascii="Calibri" w:hAnsi="Calibri" w:cs="Calibri"/>
          <w:color w:val="000000"/>
          <w:sz w:val="16"/>
          <w:szCs w:val="16"/>
        </w:rPr>
        <w:t xml:space="preserve">                                       Wrocław</w:t>
      </w:r>
      <w:r w:rsidR="00D928FD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827696">
        <w:rPr>
          <w:rFonts w:ascii="Calibri" w:hAnsi="Calibri" w:cs="Calibri"/>
          <w:color w:val="000000"/>
          <w:sz w:val="16"/>
          <w:szCs w:val="16"/>
        </w:rPr>
        <w:t>2</w:t>
      </w:r>
      <w:r w:rsidR="00C44C20">
        <w:rPr>
          <w:rFonts w:ascii="Calibri" w:hAnsi="Calibri" w:cs="Calibri"/>
          <w:color w:val="000000"/>
          <w:sz w:val="16"/>
          <w:szCs w:val="16"/>
        </w:rPr>
        <w:t>5</w:t>
      </w:r>
      <w:r w:rsidR="00827696">
        <w:rPr>
          <w:rFonts w:ascii="Calibri" w:hAnsi="Calibri" w:cs="Calibri"/>
          <w:color w:val="000000"/>
          <w:sz w:val="16"/>
          <w:szCs w:val="16"/>
        </w:rPr>
        <w:t>.0</w:t>
      </w:r>
      <w:r w:rsidR="00C44C20">
        <w:rPr>
          <w:rFonts w:ascii="Calibri" w:hAnsi="Calibri" w:cs="Calibri"/>
          <w:color w:val="000000"/>
          <w:sz w:val="16"/>
          <w:szCs w:val="16"/>
        </w:rPr>
        <w:t>5</w:t>
      </w:r>
      <w:r w:rsidR="00827696">
        <w:rPr>
          <w:rFonts w:ascii="Calibri" w:hAnsi="Calibri" w:cs="Calibri"/>
          <w:color w:val="000000"/>
          <w:sz w:val="16"/>
          <w:szCs w:val="16"/>
        </w:rPr>
        <w:t>.2022r.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 xml:space="preserve">o udzielenie zamówienia, z wyłączeniem stosowania przepisów ustawy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(Dz. U. z 2019 r., poz. 2019, z </w:t>
      </w:r>
      <w:proofErr w:type="spellStart"/>
      <w:r w:rsidR="007735C2" w:rsidRPr="00D96C36">
        <w:rPr>
          <w:rFonts w:ascii="Calibri" w:hAnsi="Calibri" w:cs="Calibri"/>
          <w:sz w:val="18"/>
          <w:szCs w:val="18"/>
        </w:rPr>
        <w:t>późn</w:t>
      </w:r>
      <w:proofErr w:type="spellEnd"/>
      <w:r w:rsidR="007735C2" w:rsidRPr="00D96C36">
        <w:rPr>
          <w:rFonts w:ascii="Calibri" w:hAnsi="Calibri" w:cs="Calibri"/>
          <w:sz w:val="18"/>
          <w:szCs w:val="18"/>
        </w:rPr>
        <w:t>. zm.),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DC7719" w:rsidRPr="00C44C20" w:rsidRDefault="00DC7719" w:rsidP="00DC7719">
      <w:pPr>
        <w:pStyle w:val="NormalnyWeb"/>
        <w:rPr>
          <w:b/>
        </w:rPr>
      </w:pPr>
      <w:r w:rsidRPr="00DC7719">
        <w:rPr>
          <w:rFonts w:asciiTheme="minorHAnsi" w:hAnsiTheme="minorHAnsi" w:cstheme="minorHAnsi"/>
          <w:sz w:val="20"/>
          <w:szCs w:val="20"/>
        </w:rPr>
        <w:t xml:space="preserve"> </w:t>
      </w:r>
      <w:r w:rsidR="00C44C20" w:rsidRPr="00C44C20">
        <w:rPr>
          <w:rFonts w:asciiTheme="minorHAnsi" w:hAnsiTheme="minorHAnsi" w:cstheme="minorHAnsi"/>
          <w:b/>
        </w:rPr>
        <w:t>Fotel / łóżko  ( typ : fotel do chemioterapii, dializy ) – 4 sztuki  z wyposażeniem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DC7719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</w:t>
            </w:r>
            <w:r w:rsidR="00C44C2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tygodni od daty podpisania umowy</w:t>
            </w: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</w:t>
            </w:r>
            <w:r w:rsidR="00C44C20">
              <w:rPr>
                <w:rFonts w:ascii="Calibri" w:hAnsi="Calibri" w:cs="Calibri"/>
                <w:sz w:val="18"/>
                <w:szCs w:val="18"/>
              </w:rPr>
              <w:t>24</w:t>
            </w:r>
            <w:r w:rsidR="00827696">
              <w:rPr>
                <w:rFonts w:ascii="Calibri" w:hAnsi="Calibri" w:cs="Calibri"/>
                <w:sz w:val="18"/>
                <w:szCs w:val="18"/>
              </w:rPr>
              <w:t xml:space="preserve"> miesi</w:t>
            </w:r>
            <w:r w:rsidR="00C44C20">
              <w:rPr>
                <w:rFonts w:ascii="Calibri" w:hAnsi="Calibri" w:cs="Calibri"/>
                <w:sz w:val="18"/>
                <w:szCs w:val="18"/>
              </w:rPr>
              <w:t>ące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.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3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Zgłoszenie serwisanta do naprawy przedmiotu zamówienia nastąpi w ciągu  </w:t>
            </w:r>
            <w:r w:rsidR="00DC7719">
              <w:rPr>
                <w:rFonts w:ascii="Calibri" w:hAnsi="Calibri" w:cs="Calibri"/>
                <w:sz w:val="18"/>
                <w:szCs w:val="18"/>
              </w:rPr>
              <w:t>2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dni od daty otrzymania zgłoszenia usterki, a naprawa zostanie wykonana w ciągu  kolejnych </w:t>
            </w:r>
            <w:r w:rsidR="00DC7719">
              <w:rPr>
                <w:rFonts w:ascii="Calibri" w:hAnsi="Calibri" w:cs="Calibri"/>
                <w:sz w:val="18"/>
                <w:szCs w:val="18"/>
              </w:rPr>
              <w:t>7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21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>o czas jego wyłączenia z eksploatacji trwającego powyżej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3D0C">
              <w:rPr>
                <w:rFonts w:ascii="Calibri" w:hAnsi="Calibri" w:cs="Calibri"/>
                <w:sz w:val="18"/>
                <w:szCs w:val="18"/>
              </w:rPr>
              <w:t xml:space="preserve">48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 spowodowanego złą eksploatacją.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przy </w:t>
            </w:r>
            <w:r w:rsidR="00DC771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2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</w:t>
            </w:r>
            <w:r w:rsidR="00C44C20">
              <w:rPr>
                <w:rFonts w:ascii="Calibri" w:hAnsi="Calibri" w:cs="Calibri"/>
                <w:sz w:val="18"/>
                <w:szCs w:val="18"/>
              </w:rPr>
              <w:t>24</w:t>
            </w:r>
            <w:r w:rsidR="00827696">
              <w:rPr>
                <w:rFonts w:ascii="Calibri" w:hAnsi="Calibri" w:cs="Calibri"/>
                <w:sz w:val="18"/>
                <w:szCs w:val="18"/>
              </w:rPr>
              <w:t xml:space="preserve"> miesi</w:t>
            </w:r>
            <w:r w:rsidR="00C44C20">
              <w:rPr>
                <w:rFonts w:ascii="Calibri" w:hAnsi="Calibri" w:cs="Calibri"/>
                <w:sz w:val="18"/>
                <w:szCs w:val="18"/>
              </w:rPr>
              <w:t>ące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853B0D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53B0D">
        <w:rPr>
          <w:rFonts w:asciiTheme="minorHAnsi" w:hAnsiTheme="minorHAnsi" w:cstheme="minorHAnsi"/>
          <w:b/>
          <w:sz w:val="18"/>
          <w:szCs w:val="18"/>
        </w:rPr>
        <w:t>Ofe</w:t>
      </w:r>
      <w:r w:rsidR="00042ECA" w:rsidRPr="00853B0D">
        <w:rPr>
          <w:rFonts w:asciiTheme="minorHAnsi" w:hAnsiTheme="minorHAnsi" w:cstheme="minorHAnsi"/>
          <w:b/>
          <w:sz w:val="18"/>
          <w:szCs w:val="18"/>
        </w:rPr>
        <w:t>rt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>ę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cenow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>ą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wraz z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 xml:space="preserve"> wypełnioną 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specyfikacją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 xml:space="preserve"> techniczną oraz oświadczeniem Wykonawcy dotyczącym podstaw wykluczenia  z postepowania </w:t>
      </w:r>
      <w:r w:rsidR="00042ECA" w:rsidRPr="00853B0D">
        <w:rPr>
          <w:rFonts w:asciiTheme="minorHAnsi" w:hAnsiTheme="minorHAnsi" w:cstheme="minorHAnsi"/>
          <w:b/>
          <w:sz w:val="18"/>
          <w:szCs w:val="18"/>
        </w:rPr>
        <w:t xml:space="preserve"> należy składać 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:</w:t>
      </w:r>
    </w:p>
    <w:p w:rsidR="00D245EB" w:rsidRPr="00853B0D" w:rsidRDefault="00D245EB">
      <w:pPr>
        <w:ind w:left="360" w:right="-47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53B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735C2" w:rsidRPr="00853B0D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Pr="00853B0D">
        <w:rPr>
          <w:rFonts w:asciiTheme="minorHAnsi" w:hAnsiTheme="minorHAnsi" w:cstheme="minorHAnsi"/>
          <w:b/>
          <w:sz w:val="18"/>
          <w:szCs w:val="18"/>
        </w:rPr>
        <w:t>formie PDF na ad</w:t>
      </w:r>
      <w:r w:rsidR="0013291F" w:rsidRPr="00853B0D">
        <w:rPr>
          <w:rFonts w:asciiTheme="minorHAnsi" w:hAnsiTheme="minorHAnsi" w:cstheme="minorHAnsi"/>
          <w:b/>
          <w:sz w:val="18"/>
          <w:szCs w:val="18"/>
        </w:rPr>
        <w:t>res e mail: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 xml:space="preserve"> dorota.emerling@um</w:t>
      </w:r>
      <w:r w:rsidR="00827696" w:rsidRPr="00853B0D">
        <w:rPr>
          <w:rFonts w:asciiTheme="minorHAnsi" w:hAnsiTheme="minorHAnsi" w:cstheme="minorHAnsi"/>
          <w:b/>
          <w:sz w:val="18"/>
          <w:szCs w:val="18"/>
        </w:rPr>
        <w:t>w.edu.pl</w:t>
      </w:r>
      <w:r w:rsidR="0013291F" w:rsidRPr="00853B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53B0D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53B0D">
        <w:rPr>
          <w:rFonts w:asciiTheme="minorHAnsi" w:hAnsiTheme="minorHAnsi" w:cstheme="minorHAnsi"/>
          <w:b/>
          <w:sz w:val="18"/>
          <w:szCs w:val="18"/>
        </w:rPr>
        <w:t>terminie do dnia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:</w:t>
      </w:r>
      <w:r w:rsidR="00491EDE" w:rsidRPr="00853B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44C20">
        <w:rPr>
          <w:rFonts w:asciiTheme="minorHAnsi" w:hAnsiTheme="minorHAnsi" w:cstheme="minorHAnsi"/>
          <w:b/>
          <w:sz w:val="18"/>
          <w:szCs w:val="18"/>
        </w:rPr>
        <w:t>30.05</w:t>
      </w:r>
      <w:r w:rsidR="005B598C" w:rsidRPr="00853B0D">
        <w:rPr>
          <w:rFonts w:asciiTheme="minorHAnsi" w:hAnsiTheme="minorHAnsi" w:cstheme="minorHAnsi"/>
          <w:b/>
          <w:sz w:val="18"/>
          <w:szCs w:val="18"/>
        </w:rPr>
        <w:t>.202</w:t>
      </w:r>
      <w:r w:rsidR="00827696" w:rsidRPr="00853B0D">
        <w:rPr>
          <w:rFonts w:asciiTheme="minorHAnsi" w:hAnsiTheme="minorHAnsi" w:cstheme="minorHAnsi"/>
          <w:b/>
          <w:sz w:val="18"/>
          <w:szCs w:val="18"/>
        </w:rPr>
        <w:t>2</w:t>
      </w:r>
      <w:r w:rsidR="001267C6" w:rsidRPr="00853B0D">
        <w:rPr>
          <w:rFonts w:asciiTheme="minorHAnsi" w:hAnsiTheme="minorHAnsi" w:cstheme="minorHAnsi"/>
          <w:b/>
          <w:sz w:val="18"/>
          <w:szCs w:val="18"/>
        </w:rPr>
        <w:t>r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. do godz.1</w:t>
      </w:r>
      <w:r w:rsidR="00827696" w:rsidRPr="00853B0D">
        <w:rPr>
          <w:rFonts w:asciiTheme="minorHAnsi" w:hAnsiTheme="minorHAnsi" w:cstheme="minorHAnsi"/>
          <w:b/>
          <w:sz w:val="18"/>
          <w:szCs w:val="18"/>
        </w:rPr>
        <w:t>1: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00</w:t>
      </w:r>
    </w:p>
    <w:p w:rsidR="00D245EB" w:rsidRPr="009039E7" w:rsidRDefault="00D245EB">
      <w:pPr>
        <w:ind w:right="-470"/>
        <w:jc w:val="both"/>
        <w:rPr>
          <w:rFonts w:ascii="Calibri" w:hAnsi="Calibri" w:cs="Calibri"/>
          <w:sz w:val="22"/>
          <w:szCs w:val="22"/>
          <w:u w:val="single"/>
        </w:rPr>
      </w:pPr>
    </w:p>
    <w:p w:rsidR="00D245EB" w:rsidRPr="00853B0D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18"/>
          <w:szCs w:val="18"/>
        </w:rPr>
      </w:pPr>
      <w:r w:rsidRPr="00853B0D">
        <w:rPr>
          <w:rFonts w:ascii="Calibri" w:hAnsi="Calibri" w:cs="Calibri"/>
          <w:sz w:val="18"/>
          <w:szCs w:val="18"/>
        </w:rPr>
        <w:t>Kryteriami oceny ofert są:</w:t>
      </w:r>
    </w:p>
    <w:p w:rsidR="00D245EB" w:rsidRPr="00853B0D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853B0D" w:rsidRDefault="005D2AE4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853B0D">
        <w:rPr>
          <w:rFonts w:ascii="Calibri" w:hAnsi="Calibri" w:cs="Calibri"/>
          <w:sz w:val="18"/>
          <w:szCs w:val="18"/>
        </w:rPr>
        <w:t xml:space="preserve">      Cena</w:t>
      </w:r>
      <w:r w:rsidR="00D245EB" w:rsidRPr="00853B0D">
        <w:rPr>
          <w:rFonts w:ascii="Calibri" w:hAnsi="Calibri" w:cs="Calibri"/>
          <w:sz w:val="18"/>
          <w:szCs w:val="18"/>
        </w:rPr>
        <w:t xml:space="preserve"> waga</w:t>
      </w:r>
      <w:r w:rsidR="00DC7719" w:rsidRPr="00853B0D">
        <w:rPr>
          <w:rFonts w:ascii="Calibri" w:hAnsi="Calibri" w:cs="Calibri"/>
          <w:sz w:val="18"/>
          <w:szCs w:val="18"/>
        </w:rPr>
        <w:t xml:space="preserve">: </w:t>
      </w:r>
      <w:r w:rsidR="00D245EB" w:rsidRPr="00853B0D">
        <w:rPr>
          <w:rFonts w:ascii="Calibri" w:hAnsi="Calibri" w:cs="Calibri"/>
          <w:sz w:val="18"/>
          <w:szCs w:val="18"/>
        </w:rPr>
        <w:t xml:space="preserve"> </w:t>
      </w:r>
      <w:r w:rsidR="00DC7719" w:rsidRPr="00853B0D">
        <w:rPr>
          <w:rFonts w:ascii="Calibri" w:hAnsi="Calibri" w:cs="Calibri"/>
          <w:sz w:val="18"/>
          <w:szCs w:val="18"/>
        </w:rPr>
        <w:t>100</w:t>
      </w:r>
      <w:r w:rsidR="00D245EB" w:rsidRPr="00853B0D">
        <w:rPr>
          <w:rFonts w:ascii="Calibri" w:hAnsi="Calibri" w:cs="Calibri"/>
          <w:sz w:val="18"/>
          <w:szCs w:val="18"/>
        </w:rPr>
        <w:t>.%</w:t>
      </w:r>
    </w:p>
    <w:p w:rsidR="00D245EB" w:rsidRPr="00853B0D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853B0D">
        <w:rPr>
          <w:rFonts w:ascii="Calibri" w:hAnsi="Calibri" w:cs="Calibri"/>
          <w:sz w:val="18"/>
          <w:szCs w:val="18"/>
        </w:rPr>
        <w:t xml:space="preserve">      …………………………. waga……………%</w:t>
      </w:r>
    </w:p>
    <w:p w:rsidR="00D245EB" w:rsidRPr="00853B0D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853B0D">
        <w:rPr>
          <w:rFonts w:ascii="Calibri" w:hAnsi="Calibri" w:cs="Calibri"/>
          <w:sz w:val="18"/>
          <w:szCs w:val="18"/>
        </w:rPr>
        <w:t xml:space="preserve">     ……………………………. </w:t>
      </w:r>
      <w:r w:rsidR="00341859" w:rsidRPr="00853B0D">
        <w:rPr>
          <w:rFonts w:ascii="Calibri" w:hAnsi="Calibri" w:cs="Calibri"/>
          <w:sz w:val="18"/>
          <w:szCs w:val="18"/>
        </w:rPr>
        <w:t xml:space="preserve">  </w:t>
      </w:r>
      <w:r w:rsidRPr="00853B0D">
        <w:rPr>
          <w:rFonts w:ascii="Calibri" w:hAnsi="Calibri" w:cs="Calibri"/>
          <w:sz w:val="18"/>
          <w:szCs w:val="18"/>
        </w:rPr>
        <w:t>waga……………%</w:t>
      </w:r>
    </w:p>
    <w:p w:rsidR="00EA7CE7" w:rsidRPr="00D96C36" w:rsidRDefault="00EA7CE7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EA7CE7" w:rsidRDefault="00EA7CE7" w:rsidP="00EA7CE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</w:t>
      </w:r>
      <w:r w:rsidR="00E558E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Z</w:t>
      </w:r>
      <w:r w:rsidRPr="00EA7CE7">
        <w:rPr>
          <w:rFonts w:ascii="Calibri" w:hAnsi="Calibri" w:cs="Calibri"/>
          <w:sz w:val="18"/>
          <w:szCs w:val="18"/>
        </w:rPr>
        <w:t>amawiający</w:t>
      </w:r>
      <w:r>
        <w:rPr>
          <w:rFonts w:ascii="Calibri" w:hAnsi="Calibri" w:cs="Calibri"/>
          <w:sz w:val="18"/>
          <w:szCs w:val="18"/>
        </w:rPr>
        <w:t xml:space="preserve"> odrzuci ofertę jeżeli :</w:t>
      </w:r>
    </w:p>
    <w:p w:rsidR="00EA7CE7" w:rsidRDefault="00EA7CE7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a. </w:t>
      </w:r>
      <w:r w:rsidR="00E558E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jej treść  nie będzie odpowiadać treści Zaproszenia do składania ofert</w:t>
      </w:r>
    </w:p>
    <w:p w:rsidR="00EA7CE7" w:rsidRDefault="00EA7CE7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b.</w:t>
      </w:r>
      <w:r w:rsidR="00E558E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zostanie złożona po terminie składania ofert</w:t>
      </w:r>
    </w:p>
    <w:p w:rsidR="00F873CE" w:rsidRDefault="00F873CE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c. </w:t>
      </w:r>
      <w:r w:rsidR="00E558E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będzie brak kompletu wymaganych załączników</w:t>
      </w:r>
    </w:p>
    <w:p w:rsidR="00E558EA" w:rsidRDefault="00E558E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d.</w:t>
      </w:r>
      <w:r w:rsidR="0038236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8236A">
        <w:rPr>
          <w:rFonts w:ascii="Calibri" w:hAnsi="Calibri" w:cs="Calibri"/>
          <w:color w:val="000000"/>
          <w:sz w:val="18"/>
          <w:szCs w:val="18"/>
        </w:rPr>
        <w:t>informacje i oświadczenia  złożone w ofercie przez Wykonawcę  będą nieprawdziwe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e.  będzie nieważna  na podstawie odrębnych przepisów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f.  nie będzie  odpowiedzi w rubryce ‘’Odpowiedź Wykonawcy’’</w:t>
      </w:r>
    </w:p>
    <w:p w:rsidR="00853B0D" w:rsidRDefault="00853B0D" w:rsidP="00853B0D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Zamawiającemu przysługuje prawo unieważnienia  bez uzasadnienia  zapytania ofertowego bez wybrania którejkolwiek z ofert.</w:t>
      </w:r>
    </w:p>
    <w:p w:rsidR="00853B0D" w:rsidRDefault="00853B0D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5. Z postępowania </w:t>
      </w:r>
      <w:r w:rsidR="00853B0D">
        <w:rPr>
          <w:rFonts w:ascii="Calibri" w:hAnsi="Calibri" w:cs="Calibri"/>
          <w:color w:val="000000"/>
          <w:sz w:val="18"/>
          <w:szCs w:val="18"/>
        </w:rPr>
        <w:t xml:space="preserve"> Zamawiający wykluczy Wykonawcę:</w:t>
      </w:r>
    </w:p>
    <w:p w:rsidR="00853B0D" w:rsidRDefault="00853B0D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Default="00853B0D" w:rsidP="00D056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a. 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C44C20">
        <w:rPr>
          <w:rFonts w:asciiTheme="minorHAnsi" w:hAnsiTheme="minorHAnsi" w:cstheme="minorHAnsi"/>
          <w:sz w:val="18"/>
          <w:szCs w:val="18"/>
        </w:rPr>
        <w:t>w</w:t>
      </w:r>
      <w:r w:rsidR="00D05692" w:rsidRPr="00D05692">
        <w:rPr>
          <w:rFonts w:asciiTheme="minorHAnsi" w:hAnsiTheme="minorHAnsi" w:cstheme="minorHAnsi"/>
          <w:sz w:val="18"/>
          <w:szCs w:val="18"/>
        </w:rPr>
        <w:t>ymienionego w wykazach określonych w rozporządzeniu 765/2006 i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rozporządzeniu 269/2014 albo wpisanego na listę na podstawie decyzji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sprawie wpisu na listę rozstrzygającej o zastosowaniu środka, o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którym mowa w art. 1 pkt 3 Ustawy z dnia 13. 04. 2022 r. o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szczególnych rozwiązaniach w zakresie przeciwdziałania wspieraniu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agresji na Ukrainę oraz służących ochronie bezpieczeństwa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narodowego (Dz. U. z 2022 r., poz. 835), zwanej dalej „ustawą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zakresie przeciwdziałania wspieraniu agresji na Ukrainę”;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b.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C44C20">
        <w:rPr>
          <w:rFonts w:asciiTheme="minorHAnsi" w:hAnsiTheme="minorHAnsi" w:cstheme="minorHAnsi"/>
          <w:sz w:val="18"/>
          <w:szCs w:val="18"/>
        </w:rPr>
        <w:t>k</w:t>
      </w:r>
      <w:bookmarkStart w:id="0" w:name="_GoBack"/>
      <w:bookmarkEnd w:id="0"/>
      <w:r w:rsidR="00D05692" w:rsidRPr="00D05692">
        <w:rPr>
          <w:rFonts w:asciiTheme="minorHAnsi" w:hAnsiTheme="minorHAnsi" w:cstheme="minorHAnsi"/>
          <w:sz w:val="18"/>
          <w:szCs w:val="18"/>
        </w:rPr>
        <w:t>tórego beneficjentem rzeczywistym w rozumieniu ustawy z dnia 1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marca 2018 r. o przeciwdziałaniu praniu pieniędzy oraz finansowaniu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terroryzmu (Dz. U. z 2022 r. poz. 593 i 655) jest osoba wymieniona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wykazach określonych w rozporządzeniu 765/2006 i rozporządzeniu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269/2014 albo wpisana na listę lub będąca takim beneficjentem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rzeczywistym od dnia 24 lutego 2022 r., o ile została wpisana na listę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 podstawie decyzji w sprawie wpisu na listę rozstrzygającej o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zastosowaniu środka, o którym mowa w art. 1 pkt 3 ustawy w zakresie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przeciwdziałania wspieraniu agresji na Ukrainę;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c.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którego jednostką dominującą w rozumieniu art. 3 ust. 1 pkt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37 ustawy z dnia 29 września 1994 r. o rachunkowości (Dz. U. z 2021 r.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poz. 217, 2105 i 2106), jest podmiot wymieniony w wykazach określonych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w rozporządzeniu 765/2006 i rozporządzeniu 269/2014 albo wpisany na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listę lub będący taką jednostką dominującą od dnia 24 lutego 2022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  <w:t>r., o ile został wpisany na listę na podstawie decyzji w sprawie wpisu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 listę rozstrzygającej o zastosowaniu środka, o którym mowa w art.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1 pkt 3 ustawy w zakresie przeciwdziałania wspieraniu agresji na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  <w:t>Ukrainę.”</w:t>
      </w:r>
    </w:p>
    <w:p w:rsidR="0036771D" w:rsidRPr="00D05692" w:rsidRDefault="0036771D" w:rsidP="00D05692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>Data 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5"/>
    <w:rsid w:val="00003E15"/>
    <w:rsid w:val="00034E2E"/>
    <w:rsid w:val="00042ECA"/>
    <w:rsid w:val="0009615B"/>
    <w:rsid w:val="001022CD"/>
    <w:rsid w:val="001267C6"/>
    <w:rsid w:val="0013291F"/>
    <w:rsid w:val="00191DFD"/>
    <w:rsid w:val="001B6358"/>
    <w:rsid w:val="001E4EDC"/>
    <w:rsid w:val="00294A5A"/>
    <w:rsid w:val="002B0527"/>
    <w:rsid w:val="00341859"/>
    <w:rsid w:val="00347F4F"/>
    <w:rsid w:val="0036771D"/>
    <w:rsid w:val="0038236A"/>
    <w:rsid w:val="00382F75"/>
    <w:rsid w:val="003F564F"/>
    <w:rsid w:val="00491EDE"/>
    <w:rsid w:val="004D37FF"/>
    <w:rsid w:val="0051181A"/>
    <w:rsid w:val="00551907"/>
    <w:rsid w:val="00562CF5"/>
    <w:rsid w:val="005B598C"/>
    <w:rsid w:val="005D203D"/>
    <w:rsid w:val="005D2AE4"/>
    <w:rsid w:val="00616914"/>
    <w:rsid w:val="00645007"/>
    <w:rsid w:val="006634E4"/>
    <w:rsid w:val="00694D9F"/>
    <w:rsid w:val="006E316A"/>
    <w:rsid w:val="006F4457"/>
    <w:rsid w:val="00743D0C"/>
    <w:rsid w:val="007735C2"/>
    <w:rsid w:val="0077378D"/>
    <w:rsid w:val="00825E4B"/>
    <w:rsid w:val="00827696"/>
    <w:rsid w:val="00853B0D"/>
    <w:rsid w:val="008B640E"/>
    <w:rsid w:val="008E398C"/>
    <w:rsid w:val="009039E7"/>
    <w:rsid w:val="00944415"/>
    <w:rsid w:val="009C434E"/>
    <w:rsid w:val="00A22F9B"/>
    <w:rsid w:val="00A3062B"/>
    <w:rsid w:val="00A55213"/>
    <w:rsid w:val="00B279DE"/>
    <w:rsid w:val="00B841A8"/>
    <w:rsid w:val="00BE7E7E"/>
    <w:rsid w:val="00C15300"/>
    <w:rsid w:val="00C44C20"/>
    <w:rsid w:val="00CC31B4"/>
    <w:rsid w:val="00D05692"/>
    <w:rsid w:val="00D245EB"/>
    <w:rsid w:val="00D928FD"/>
    <w:rsid w:val="00D96C36"/>
    <w:rsid w:val="00DB498C"/>
    <w:rsid w:val="00DC7719"/>
    <w:rsid w:val="00E558EA"/>
    <w:rsid w:val="00E71178"/>
    <w:rsid w:val="00EA7CE7"/>
    <w:rsid w:val="00F173D8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11001"/>
  <w15:docId w15:val="{741C73C8-0B6C-4757-9730-399E99C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77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DEmerling</cp:lastModifiedBy>
  <cp:revision>2</cp:revision>
  <cp:lastPrinted>2021-03-03T10:03:00Z</cp:lastPrinted>
  <dcterms:created xsi:type="dcterms:W3CDTF">2022-05-25T09:55:00Z</dcterms:created>
  <dcterms:modified xsi:type="dcterms:W3CDTF">2022-05-25T09:55:00Z</dcterms:modified>
</cp:coreProperties>
</file>